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pPr w:leftFromText="180" w:rightFromText="180" w:vertAnchor="text" w:horzAnchor="margin" w:tblpY="2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4248"/>
        <w:gridCol w:w="2430"/>
        <w:gridCol w:w="3618"/>
      </w:tblGrid>
      <w:tr w:rsidR="002C4D97" w:rsidRPr="005B24B1">
        <w:trPr>
          <w:trHeight w:val="660"/>
        </w:trPr>
        <w:tc>
          <w:tcPr>
            <w:tcW w:w="4248" w:type="dxa"/>
            <w:tcBorders>
              <w:top w:val="single" w:sz="24" w:space="0" w:color="000000"/>
              <w:left w:val="single" w:sz="24" w:space="0" w:color="000000"/>
              <w:bottom w:val="single" w:sz="24" w:space="0" w:color="000000"/>
              <w:right w:val="single" w:sz="24" w:space="0" w:color="000000"/>
            </w:tcBorders>
            <w:shd w:val="clear" w:color="auto" w:fill="CCCCCC"/>
            <w:vAlign w:val="center"/>
          </w:tcPr>
          <w:p w:rsidR="002C4D97" w:rsidRPr="005B24B1" w:rsidRDefault="002C4D97" w:rsidP="00E912F3">
            <w:pPr>
              <w:spacing w:after="0"/>
              <w:jc w:val="center"/>
              <w:rPr>
                <w:rFonts w:ascii="Cambria" w:hAnsi="Cambria"/>
                <w:b/>
                <w:sz w:val="36"/>
              </w:rPr>
            </w:pPr>
            <w:r>
              <w:rPr>
                <w:rFonts w:ascii="Cambria" w:hAnsi="Cambria"/>
                <w:b/>
                <w:sz w:val="36"/>
              </w:rPr>
              <w:t>Environments</w:t>
            </w:r>
          </w:p>
        </w:tc>
        <w:tc>
          <w:tcPr>
            <w:tcW w:w="2430" w:type="dxa"/>
            <w:tcBorders>
              <w:top w:val="single" w:sz="24" w:space="0" w:color="000000"/>
              <w:left w:val="single" w:sz="24" w:space="0" w:color="000000"/>
              <w:bottom w:val="nil"/>
              <w:right w:val="nil"/>
            </w:tcBorders>
          </w:tcPr>
          <w:p w:rsidR="002C4D97" w:rsidRPr="005B24B1" w:rsidRDefault="002C4D97" w:rsidP="00E912F3">
            <w:pPr>
              <w:spacing w:after="0"/>
              <w:jc w:val="right"/>
              <w:rPr>
                <w:rFonts w:ascii="Cambria" w:hAnsi="Cambria"/>
                <w:b/>
              </w:rPr>
            </w:pPr>
            <w:r w:rsidRPr="005B24B1">
              <w:rPr>
                <w:rFonts w:ascii="Cambria" w:hAnsi="Cambria"/>
                <w:b/>
              </w:rPr>
              <w:t xml:space="preserve">Investigation </w:t>
            </w:r>
            <w:r>
              <w:rPr>
                <w:rFonts w:ascii="Cambria" w:hAnsi="Cambria"/>
                <w:b/>
              </w:rPr>
              <w:t>4</w:t>
            </w:r>
            <w:r w:rsidRPr="005B24B1">
              <w:rPr>
                <w:rFonts w:ascii="Cambria" w:hAnsi="Cambria"/>
                <w:b/>
              </w:rPr>
              <w:t>:</w:t>
            </w:r>
          </w:p>
        </w:tc>
        <w:tc>
          <w:tcPr>
            <w:tcW w:w="3618" w:type="dxa"/>
            <w:tcBorders>
              <w:top w:val="single" w:sz="24" w:space="0" w:color="000000"/>
              <w:left w:val="nil"/>
              <w:bottom w:val="nil"/>
              <w:right w:val="nil"/>
            </w:tcBorders>
          </w:tcPr>
          <w:p w:rsidR="002C4D97" w:rsidRPr="005B24B1" w:rsidRDefault="002C4D97" w:rsidP="00E912F3">
            <w:pPr>
              <w:spacing w:after="0"/>
              <w:rPr>
                <w:rFonts w:ascii="Cambria" w:hAnsi="Cambria"/>
                <w:b/>
              </w:rPr>
            </w:pPr>
            <w:r>
              <w:rPr>
                <w:rFonts w:ascii="Cambria" w:hAnsi="Cambria"/>
                <w:b/>
              </w:rPr>
              <w:t>Aquatic Environments</w:t>
            </w:r>
          </w:p>
        </w:tc>
      </w:tr>
    </w:tbl>
    <w:p w:rsidR="002C4D97" w:rsidRPr="005B24B1" w:rsidRDefault="002C4D97" w:rsidP="00E912F3">
      <w:pPr>
        <w:spacing w:after="0"/>
        <w:jc w:val="both"/>
        <w:rPr>
          <w:rFonts w:ascii="Calibri" w:hAnsi="Calibri"/>
          <w:sz w:val="20"/>
          <w:szCs w:val="20"/>
        </w:rPr>
      </w:pPr>
    </w:p>
    <w:p w:rsidR="002C4D97" w:rsidRDefault="002C4D97" w:rsidP="00E912F3">
      <w:pPr>
        <w:spacing w:after="0"/>
        <w:ind w:left="360"/>
        <w:rPr>
          <w:rFonts w:ascii="Calibri" w:hAnsi="Calibri"/>
          <w:b/>
          <w:sz w:val="20"/>
          <w:szCs w:val="20"/>
        </w:rPr>
      </w:pPr>
    </w:p>
    <w:p w:rsidR="002C4D97" w:rsidRDefault="002C4D97" w:rsidP="00E912F3">
      <w:pPr>
        <w:spacing w:after="0"/>
        <w:ind w:left="360"/>
        <w:rPr>
          <w:rFonts w:ascii="Calibri" w:hAnsi="Calibri"/>
          <w:b/>
          <w:sz w:val="20"/>
          <w:szCs w:val="20"/>
        </w:rPr>
      </w:pPr>
    </w:p>
    <w:p w:rsidR="002C4D97" w:rsidRDefault="002C4D97" w:rsidP="00E912F3">
      <w:pPr>
        <w:spacing w:after="0"/>
        <w:ind w:left="360"/>
        <w:rPr>
          <w:rFonts w:ascii="Calibri" w:hAnsi="Calibri"/>
          <w:b/>
          <w:sz w:val="20"/>
          <w:szCs w:val="20"/>
        </w:rPr>
      </w:pPr>
    </w:p>
    <w:tbl>
      <w:tblPr>
        <w:tblW w:w="0" w:type="auto"/>
        <w:tblInd w:w="360" w:type="dxa"/>
        <w:tblLook w:val="00A0"/>
      </w:tblPr>
      <w:tblGrid>
        <w:gridCol w:w="9918"/>
      </w:tblGrid>
      <w:tr w:rsidR="002C4D97" w:rsidRPr="00AC6A20">
        <w:tc>
          <w:tcPr>
            <w:tcW w:w="9918" w:type="dxa"/>
            <w:shd w:val="clear" w:color="auto" w:fill="auto"/>
          </w:tcPr>
          <w:p w:rsidR="002C4D97" w:rsidRPr="00AC6A20" w:rsidRDefault="002C4D97" w:rsidP="00E912F3">
            <w:pPr>
              <w:spacing w:after="0"/>
              <w:rPr>
                <w:rFonts w:ascii="Calibri" w:hAnsi="Calibri"/>
                <w:b/>
                <w:sz w:val="20"/>
                <w:szCs w:val="20"/>
              </w:rPr>
            </w:pPr>
            <w:r>
              <w:rPr>
                <w:rFonts w:ascii="Calibri" w:hAnsi="Calibri"/>
                <w:b/>
                <w:sz w:val="20"/>
                <w:szCs w:val="20"/>
              </w:rPr>
              <w:t>How this investigation fits within the Concept and Lesson Map:</w:t>
            </w:r>
            <w:r w:rsidRPr="00AC6A20">
              <w:rPr>
                <w:rFonts w:ascii="Calibri" w:hAnsi="Calibri"/>
                <w:sz w:val="20"/>
                <w:szCs w:val="20"/>
              </w:rPr>
              <w:t xml:space="preserve"> </w:t>
            </w:r>
          </w:p>
        </w:tc>
      </w:tr>
      <w:tr w:rsidR="002C4D97" w:rsidRPr="00AC6A20">
        <w:tc>
          <w:tcPr>
            <w:tcW w:w="9918" w:type="dxa"/>
            <w:shd w:val="clear" w:color="auto" w:fill="auto"/>
          </w:tcPr>
          <w:p w:rsidR="002C4D97" w:rsidRPr="00AC6A20" w:rsidRDefault="002C4D97" w:rsidP="00E912F3">
            <w:pPr>
              <w:spacing w:after="0"/>
              <w:rPr>
                <w:rFonts w:ascii="Calibri" w:hAnsi="Calibri"/>
                <w:sz w:val="20"/>
                <w:szCs w:val="20"/>
              </w:rPr>
            </w:pPr>
            <w:r w:rsidRPr="00AC6A20">
              <w:rPr>
                <w:rFonts w:ascii="Calibri" w:hAnsi="Calibri"/>
                <w:sz w:val="20"/>
                <w:szCs w:val="20"/>
              </w:rPr>
              <w:t>In the prior investigations, students had experiences with identifying environmental factors and observing a range of tolerance in terrestrial environments.  Now, in an aquatic environment, students are ready to discover that organisms can change the environmental factors.  In this case a goldfish changes the acidity of the water environment by giving off CO2.  This investigation helps students generalize their ideas about organisms to other environments beyond terrestrial.</w:t>
            </w:r>
          </w:p>
        </w:tc>
      </w:tr>
    </w:tbl>
    <w:p w:rsidR="002C4D97" w:rsidRDefault="002C4D97" w:rsidP="00BB698E">
      <w:pPr>
        <w:spacing w:after="0"/>
        <w:rPr>
          <w:rFonts w:ascii="Calibri" w:hAnsi="Calibri"/>
          <w:b/>
          <w:sz w:val="20"/>
          <w:szCs w:val="20"/>
        </w:rPr>
      </w:pPr>
    </w:p>
    <w:tbl>
      <w:tblPr>
        <w:tblW w:w="0" w:type="auto"/>
        <w:tblInd w:w="360" w:type="dxa"/>
        <w:tblLook w:val="00BF"/>
      </w:tblPr>
      <w:tblGrid>
        <w:gridCol w:w="9936"/>
      </w:tblGrid>
      <w:tr w:rsidR="002C4D97" w:rsidRPr="00AC6A20">
        <w:tc>
          <w:tcPr>
            <w:tcW w:w="9936" w:type="dxa"/>
            <w:shd w:val="clear" w:color="auto" w:fill="auto"/>
          </w:tcPr>
          <w:p w:rsidR="002C4D97" w:rsidRPr="00AC6A20" w:rsidRDefault="002C4D97" w:rsidP="00EF0217">
            <w:pPr>
              <w:spacing w:after="0"/>
              <w:rPr>
                <w:rFonts w:ascii="Calibri" w:hAnsi="Calibri"/>
                <w:b/>
                <w:sz w:val="20"/>
                <w:szCs w:val="20"/>
              </w:rPr>
            </w:pPr>
            <w:r w:rsidRPr="00AC6A20">
              <w:rPr>
                <w:rFonts w:ascii="Calibri" w:hAnsi="Calibri"/>
                <w:b/>
                <w:sz w:val="20"/>
                <w:szCs w:val="20"/>
              </w:rPr>
              <w:t>Overarching Question(s) for the Whole Investigation</w:t>
            </w:r>
          </w:p>
        </w:tc>
      </w:tr>
      <w:tr w:rsidR="002C4D97" w:rsidRPr="00AC6A20">
        <w:tc>
          <w:tcPr>
            <w:tcW w:w="9936" w:type="dxa"/>
            <w:shd w:val="clear" w:color="auto" w:fill="auto"/>
          </w:tcPr>
          <w:p w:rsidR="002C4D97" w:rsidRPr="00AC6A20" w:rsidRDefault="002C4D97" w:rsidP="00EF0217">
            <w:pPr>
              <w:pStyle w:val="LightGrid-Accent31"/>
              <w:spacing w:after="0"/>
              <w:ind w:left="360" w:hanging="360"/>
              <w:rPr>
                <w:rFonts w:ascii="Calibri" w:hAnsi="Calibri"/>
                <w:sz w:val="20"/>
                <w:szCs w:val="20"/>
              </w:rPr>
            </w:pPr>
            <w:r w:rsidRPr="00AC6A20">
              <w:rPr>
                <w:rFonts w:ascii="Calibri" w:hAnsi="Calibri"/>
                <w:sz w:val="20"/>
                <w:szCs w:val="20"/>
              </w:rPr>
              <w:t>How do organisms change the environment and how do we measure these changes?</w:t>
            </w:r>
          </w:p>
        </w:tc>
      </w:tr>
    </w:tbl>
    <w:p w:rsidR="002C4D97" w:rsidRDefault="002C4D97" w:rsidP="00BB698E">
      <w:pPr>
        <w:spacing w:after="0"/>
        <w:rPr>
          <w:rFonts w:ascii="Calibri" w:hAnsi="Calibri"/>
          <w:b/>
          <w:sz w:val="20"/>
          <w:szCs w:val="20"/>
        </w:rPr>
      </w:pPr>
    </w:p>
    <w:p w:rsidR="002C4D97" w:rsidRDefault="002C4D97" w:rsidP="00BB698E">
      <w:pPr>
        <w:spacing w:after="0"/>
        <w:rPr>
          <w:rFonts w:ascii="Calibri" w:hAnsi="Calibri"/>
          <w:b/>
          <w:sz w:val="20"/>
          <w:szCs w:val="20"/>
        </w:rPr>
      </w:pPr>
      <w:r>
        <w:rPr>
          <w:rFonts w:ascii="Calibri" w:hAnsi="Calibri"/>
          <w:b/>
          <w:sz w:val="20"/>
          <w:szCs w:val="20"/>
        </w:rPr>
        <w:t>How People Learn #1: Preconceptions</w:t>
      </w:r>
    </w:p>
    <w:tbl>
      <w:tblPr>
        <w:tblW w:w="0" w:type="auto"/>
        <w:tblInd w:w="360" w:type="dxa"/>
        <w:tblLook w:val="00BF"/>
      </w:tblPr>
      <w:tblGrid>
        <w:gridCol w:w="9936"/>
      </w:tblGrid>
      <w:tr w:rsidR="002C4D97" w:rsidRPr="00AC6A20">
        <w:tc>
          <w:tcPr>
            <w:tcW w:w="9936" w:type="dxa"/>
            <w:shd w:val="clear" w:color="auto" w:fill="auto"/>
          </w:tcPr>
          <w:p w:rsidR="002C4D97" w:rsidRPr="00AC6A20" w:rsidRDefault="002C4D97" w:rsidP="00F55541">
            <w:pPr>
              <w:spacing w:after="0"/>
              <w:rPr>
                <w:rFonts w:ascii="Calibri" w:hAnsi="Calibri"/>
                <w:b/>
                <w:sz w:val="20"/>
                <w:szCs w:val="20"/>
              </w:rPr>
            </w:pPr>
            <w:r w:rsidRPr="00AC6A20">
              <w:rPr>
                <w:rFonts w:ascii="Calibri" w:hAnsi="Calibri"/>
                <w:b/>
                <w:sz w:val="20"/>
                <w:szCs w:val="20"/>
              </w:rPr>
              <w:t xml:space="preserve">Eliciting student ideas: </w:t>
            </w:r>
          </w:p>
        </w:tc>
      </w:tr>
      <w:tr w:rsidR="002C4D97" w:rsidRPr="00AC6A20">
        <w:tc>
          <w:tcPr>
            <w:tcW w:w="9936" w:type="dxa"/>
            <w:shd w:val="clear" w:color="auto" w:fill="auto"/>
          </w:tcPr>
          <w:p w:rsidR="002C4D97" w:rsidRPr="00AC6A20" w:rsidRDefault="002C4D97" w:rsidP="00F55541">
            <w:pPr>
              <w:spacing w:after="0"/>
              <w:rPr>
                <w:rFonts w:ascii="Calibri" w:hAnsi="Calibri"/>
                <w:sz w:val="20"/>
                <w:szCs w:val="20"/>
              </w:rPr>
            </w:pPr>
            <w:r w:rsidRPr="00AC6A20">
              <w:rPr>
                <w:rFonts w:ascii="Calibri" w:hAnsi="Calibri"/>
                <w:sz w:val="20"/>
                <w:szCs w:val="20"/>
              </w:rPr>
              <w:t>Concept cartoons- Small Fish 6.8 and Pond Life 6.10.  Both of these help students activate background knowledge about: invisible environmental factors (gases), that organisms have a range of tolerance (live or die based on environmental factors), how fish/plants use and produce gases, how the environment influences living organisms and how the organisms can change the environment.</w:t>
            </w:r>
            <w:r>
              <w:rPr>
                <w:rFonts w:ascii="Calibri" w:hAnsi="Calibri"/>
                <w:sz w:val="20"/>
                <w:szCs w:val="20"/>
              </w:rPr>
              <w:t xml:space="preserve"> Cartoon 6.8 is best used before Part I and cartoon 6.10 before Part 2.</w:t>
            </w:r>
          </w:p>
        </w:tc>
      </w:tr>
    </w:tbl>
    <w:p w:rsidR="002C4D97" w:rsidRDefault="002C4D97" w:rsidP="00BB698E">
      <w:pPr>
        <w:spacing w:after="0"/>
        <w:rPr>
          <w:rFonts w:ascii="Calibri" w:hAnsi="Calibri"/>
          <w:b/>
          <w:sz w:val="20"/>
          <w:szCs w:val="20"/>
        </w:rPr>
      </w:pPr>
    </w:p>
    <w:tbl>
      <w:tblPr>
        <w:tblW w:w="9900" w:type="dxa"/>
        <w:tblInd w:w="378" w:type="dxa"/>
        <w:tblLook w:val="00BF"/>
      </w:tblPr>
      <w:tblGrid>
        <w:gridCol w:w="9900"/>
      </w:tblGrid>
      <w:tr w:rsidR="002C4D97" w:rsidRPr="00AC6A20">
        <w:tc>
          <w:tcPr>
            <w:tcW w:w="9900" w:type="dxa"/>
            <w:shd w:val="clear" w:color="auto" w:fill="auto"/>
          </w:tcPr>
          <w:p w:rsidR="002C4D97" w:rsidRPr="00AC6A20" w:rsidRDefault="002C4D97" w:rsidP="00F55541">
            <w:pPr>
              <w:spacing w:after="0"/>
              <w:rPr>
                <w:rFonts w:ascii="Calibri" w:hAnsi="Calibri"/>
                <w:b/>
                <w:sz w:val="20"/>
                <w:szCs w:val="20"/>
              </w:rPr>
            </w:pPr>
            <w:r w:rsidRPr="00AC6A20">
              <w:rPr>
                <w:rFonts w:ascii="Calibri" w:hAnsi="Calibri"/>
                <w:b/>
                <w:sz w:val="20"/>
                <w:szCs w:val="20"/>
              </w:rPr>
              <w:t>Common Student Preconceptions:</w:t>
            </w:r>
          </w:p>
        </w:tc>
      </w:tr>
      <w:tr w:rsidR="002C4D97" w:rsidRPr="00AC6A20">
        <w:tc>
          <w:tcPr>
            <w:tcW w:w="9900" w:type="dxa"/>
            <w:shd w:val="clear" w:color="auto" w:fill="auto"/>
          </w:tcPr>
          <w:p w:rsidR="002C4D97" w:rsidRPr="009B7C30" w:rsidRDefault="002C4D97" w:rsidP="00F55541">
            <w:pPr>
              <w:numPr>
                <w:ilvl w:val="0"/>
                <w:numId w:val="3"/>
              </w:numPr>
              <w:spacing w:after="0"/>
              <w:ind w:left="342" w:hanging="180"/>
              <w:rPr>
                <w:rFonts w:ascii="Calibri" w:hAnsi="Calibri"/>
                <w:sz w:val="20"/>
                <w:szCs w:val="20"/>
              </w:rPr>
            </w:pPr>
            <w:r w:rsidRPr="00AC6A20">
              <w:rPr>
                <w:rFonts w:ascii="Calibri" w:hAnsi="Calibri"/>
                <w:sz w:val="20"/>
                <w:szCs w:val="20"/>
              </w:rPr>
              <w:t>Students often think of organisms as independent of each other</w:t>
            </w:r>
            <w:r>
              <w:rPr>
                <w:rFonts w:ascii="Calibri" w:hAnsi="Calibri"/>
                <w:sz w:val="20"/>
                <w:szCs w:val="20"/>
              </w:rPr>
              <w:t xml:space="preserve"> (Leach et al., 1992)</w:t>
            </w:r>
            <w:r w:rsidRPr="00AC6A20">
              <w:rPr>
                <w:rFonts w:ascii="Calibri" w:hAnsi="Calibri"/>
                <w:sz w:val="20"/>
                <w:szCs w:val="20"/>
              </w:rPr>
              <w:t xml:space="preserve">.  This could lead them to not look beyond the simple food web connections and remain unaware of subtle relationships between an organism and the environment.  </w:t>
            </w:r>
          </w:p>
          <w:p w:rsidR="002C4D97" w:rsidRPr="00AC6A20" w:rsidRDefault="002C4D97" w:rsidP="00F55541">
            <w:pPr>
              <w:numPr>
                <w:ilvl w:val="0"/>
                <w:numId w:val="3"/>
              </w:numPr>
              <w:spacing w:after="0"/>
              <w:ind w:left="342" w:hanging="180"/>
              <w:rPr>
                <w:rFonts w:ascii="Calibri" w:hAnsi="Calibri"/>
                <w:sz w:val="20"/>
                <w:szCs w:val="20"/>
              </w:rPr>
            </w:pPr>
            <w:r w:rsidRPr="00AC6A20">
              <w:rPr>
                <w:rFonts w:ascii="Calibri" w:hAnsi="Calibri"/>
                <w:sz w:val="20"/>
                <w:szCs w:val="20"/>
              </w:rPr>
              <w:t xml:space="preserve"> The logical thinking required </w:t>
            </w:r>
            <w:proofErr w:type="gramStart"/>
            <w:r w:rsidRPr="00AC6A20">
              <w:rPr>
                <w:rFonts w:ascii="Calibri" w:hAnsi="Calibri"/>
                <w:sz w:val="20"/>
                <w:szCs w:val="20"/>
              </w:rPr>
              <w:t>to understand</w:t>
            </w:r>
            <w:proofErr w:type="gramEnd"/>
            <w:r w:rsidRPr="00AC6A20">
              <w:rPr>
                <w:rFonts w:ascii="Calibri" w:hAnsi="Calibri"/>
                <w:sz w:val="20"/>
                <w:szCs w:val="20"/>
              </w:rPr>
              <w:t xml:space="preserve"> the connection between the fish and the changing acidity involves causes and effects that might be challenging for many students.  Refer to the bulleted list on page 6 of the investigation booklet to support student understandings.</w:t>
            </w:r>
          </w:p>
        </w:tc>
      </w:tr>
    </w:tbl>
    <w:p w:rsidR="002C4D97" w:rsidRDefault="002C4D97" w:rsidP="00BB698E">
      <w:pPr>
        <w:spacing w:after="0"/>
        <w:rPr>
          <w:rFonts w:ascii="Calibri" w:hAnsi="Calibri"/>
          <w:b/>
          <w:sz w:val="20"/>
          <w:szCs w:val="20"/>
        </w:rPr>
      </w:pPr>
    </w:p>
    <w:p w:rsidR="002C4D97" w:rsidRPr="00AC6A20" w:rsidRDefault="002C4D97" w:rsidP="00BB698E">
      <w:pPr>
        <w:spacing w:after="0"/>
        <w:rPr>
          <w:rFonts w:ascii="Calibri" w:hAnsi="Calibri"/>
          <w:b/>
          <w:sz w:val="20"/>
          <w:szCs w:val="20"/>
        </w:rPr>
      </w:pPr>
      <w:r>
        <w:rPr>
          <w:rFonts w:ascii="Calibri" w:hAnsi="Calibri"/>
          <w:b/>
          <w:sz w:val="20"/>
          <w:szCs w:val="20"/>
        </w:rPr>
        <w:t>How People Learn #2: Facts/Concepts/Knowledge</w:t>
      </w:r>
    </w:p>
    <w:tbl>
      <w:tblPr>
        <w:tblW w:w="0" w:type="auto"/>
        <w:tblInd w:w="360" w:type="dxa"/>
        <w:tblLook w:val="00BF"/>
      </w:tblPr>
      <w:tblGrid>
        <w:gridCol w:w="1368"/>
        <w:gridCol w:w="8568"/>
      </w:tblGrid>
      <w:tr w:rsidR="002C4D97" w:rsidRPr="00AC6A20">
        <w:tc>
          <w:tcPr>
            <w:tcW w:w="9936" w:type="dxa"/>
            <w:gridSpan w:val="2"/>
            <w:shd w:val="clear" w:color="auto" w:fill="auto"/>
          </w:tcPr>
          <w:p w:rsidR="002C4D97" w:rsidRPr="00AC6A20" w:rsidRDefault="002C4D97" w:rsidP="00E912F3">
            <w:pPr>
              <w:spacing w:after="0"/>
              <w:rPr>
                <w:rFonts w:ascii="Calibri" w:hAnsi="Calibri"/>
                <w:b/>
                <w:sz w:val="20"/>
                <w:szCs w:val="20"/>
              </w:rPr>
            </w:pPr>
            <w:r w:rsidRPr="00AC6A20">
              <w:rPr>
                <w:rFonts w:ascii="Calibri" w:hAnsi="Calibri"/>
                <w:b/>
                <w:sz w:val="20"/>
                <w:szCs w:val="20"/>
              </w:rPr>
              <w:t>WA State Content Standards “Science Domains” (EALR 4)</w:t>
            </w:r>
          </w:p>
        </w:tc>
      </w:tr>
      <w:tr w:rsidR="002C4D97" w:rsidRPr="00AC6A20">
        <w:tc>
          <w:tcPr>
            <w:tcW w:w="1368" w:type="dxa"/>
            <w:shd w:val="clear" w:color="auto" w:fill="auto"/>
          </w:tcPr>
          <w:p w:rsidR="002C4D97" w:rsidRPr="00AC6A20" w:rsidRDefault="002C4D97" w:rsidP="00E912F3">
            <w:pPr>
              <w:spacing w:after="0"/>
              <w:jc w:val="right"/>
              <w:rPr>
                <w:rFonts w:ascii="Calibri" w:hAnsi="Calibri"/>
                <w:sz w:val="20"/>
                <w:szCs w:val="20"/>
              </w:rPr>
            </w:pPr>
            <w:r w:rsidRPr="00AC6A20">
              <w:rPr>
                <w:rFonts w:ascii="Calibri" w:hAnsi="Calibri"/>
                <w:sz w:val="20"/>
                <w:szCs w:val="20"/>
              </w:rPr>
              <w:t>4-5 LS2E</w:t>
            </w:r>
          </w:p>
        </w:tc>
        <w:tc>
          <w:tcPr>
            <w:tcW w:w="8568" w:type="dxa"/>
            <w:shd w:val="clear" w:color="auto" w:fill="auto"/>
          </w:tcPr>
          <w:p w:rsidR="002C4D97" w:rsidRPr="00AC6A20" w:rsidRDefault="002C4D97" w:rsidP="00E912F3">
            <w:pPr>
              <w:pStyle w:val="LightGrid-Accent31"/>
              <w:spacing w:after="0"/>
              <w:ind w:left="0"/>
              <w:rPr>
                <w:rFonts w:ascii="Calibri" w:hAnsi="Calibri"/>
                <w:sz w:val="20"/>
                <w:szCs w:val="20"/>
              </w:rPr>
            </w:pPr>
            <w:r w:rsidRPr="00AC6A20">
              <w:rPr>
                <w:rFonts w:ascii="Calibri" w:hAnsi="Calibri"/>
                <w:sz w:val="20"/>
                <w:szCs w:val="20"/>
              </w:rPr>
              <w:t>All plants and animals chang</w:t>
            </w:r>
            <w:r>
              <w:rPr>
                <w:rFonts w:ascii="Calibri" w:hAnsi="Calibri"/>
                <w:sz w:val="20"/>
                <w:szCs w:val="20"/>
              </w:rPr>
              <w:t>e the ecosystem where they live.  If this change reduces another organism’s access to resources, that organism may move to another location or die.</w:t>
            </w:r>
          </w:p>
        </w:tc>
      </w:tr>
      <w:tr w:rsidR="002C4D97" w:rsidRPr="00AC6A20">
        <w:tc>
          <w:tcPr>
            <w:tcW w:w="9936" w:type="dxa"/>
            <w:gridSpan w:val="2"/>
            <w:shd w:val="clear" w:color="auto" w:fill="auto"/>
          </w:tcPr>
          <w:p w:rsidR="002C4D97" w:rsidRPr="00AC6A20" w:rsidRDefault="002C4D97" w:rsidP="00E912F3">
            <w:pPr>
              <w:spacing w:after="0"/>
              <w:rPr>
                <w:rFonts w:ascii="Calibri" w:hAnsi="Calibri"/>
                <w:b/>
                <w:sz w:val="20"/>
                <w:szCs w:val="20"/>
              </w:rPr>
            </w:pPr>
            <w:r w:rsidRPr="00AC6A20">
              <w:rPr>
                <w:rFonts w:ascii="Calibri" w:hAnsi="Calibri"/>
                <w:b/>
                <w:sz w:val="20"/>
                <w:szCs w:val="20"/>
              </w:rPr>
              <w:t>WA State Science Standards “Crosscutting Concepts and Abilities” (EALRs 1-3)</w:t>
            </w:r>
          </w:p>
        </w:tc>
      </w:tr>
      <w:tr w:rsidR="002C4D97" w:rsidRPr="00AC6A20">
        <w:tc>
          <w:tcPr>
            <w:tcW w:w="1368" w:type="dxa"/>
            <w:shd w:val="clear" w:color="auto" w:fill="auto"/>
          </w:tcPr>
          <w:p w:rsidR="002C4D97" w:rsidRPr="00AC6A20" w:rsidRDefault="002C4D97" w:rsidP="00E912F3">
            <w:pPr>
              <w:spacing w:after="0"/>
              <w:jc w:val="right"/>
              <w:rPr>
                <w:rFonts w:ascii="Calibri" w:hAnsi="Calibri"/>
                <w:b/>
                <w:sz w:val="20"/>
                <w:szCs w:val="20"/>
              </w:rPr>
            </w:pPr>
            <w:r w:rsidRPr="00AC6A20">
              <w:rPr>
                <w:rFonts w:ascii="Calibri" w:hAnsi="Calibri"/>
                <w:sz w:val="20"/>
                <w:szCs w:val="20"/>
              </w:rPr>
              <w:t>4-5 SYSC</w:t>
            </w:r>
          </w:p>
        </w:tc>
        <w:tc>
          <w:tcPr>
            <w:tcW w:w="8568" w:type="dxa"/>
            <w:shd w:val="clear" w:color="auto" w:fill="auto"/>
          </w:tcPr>
          <w:p w:rsidR="002C4D97" w:rsidRPr="00AC6A20" w:rsidRDefault="002C4D97" w:rsidP="00E912F3">
            <w:pPr>
              <w:pStyle w:val="LightGrid-Accent31"/>
              <w:spacing w:after="0"/>
              <w:ind w:left="0"/>
              <w:rPr>
                <w:rFonts w:ascii="Calibri" w:hAnsi="Calibri"/>
                <w:b/>
                <w:sz w:val="20"/>
                <w:szCs w:val="20"/>
              </w:rPr>
            </w:pPr>
            <w:r w:rsidRPr="00AC6A20">
              <w:rPr>
                <w:rFonts w:ascii="Calibri" w:hAnsi="Calibri"/>
                <w:sz w:val="20"/>
                <w:szCs w:val="20"/>
              </w:rPr>
              <w:t>Systems have inputs and outputs.  Changes in inputs may change the outputs of a system.</w:t>
            </w:r>
          </w:p>
        </w:tc>
      </w:tr>
      <w:tr w:rsidR="002C4D97" w:rsidRPr="00AC6A20">
        <w:tc>
          <w:tcPr>
            <w:tcW w:w="1368" w:type="dxa"/>
            <w:shd w:val="clear" w:color="auto" w:fill="auto"/>
          </w:tcPr>
          <w:p w:rsidR="002C4D97" w:rsidRPr="00AC6A20" w:rsidRDefault="002C4D97" w:rsidP="00E912F3">
            <w:pPr>
              <w:spacing w:after="0"/>
              <w:jc w:val="right"/>
              <w:rPr>
                <w:rFonts w:ascii="Calibri" w:hAnsi="Calibri"/>
                <w:sz w:val="20"/>
                <w:szCs w:val="20"/>
              </w:rPr>
            </w:pPr>
            <w:r w:rsidRPr="00AC6A20">
              <w:rPr>
                <w:rFonts w:ascii="Calibri" w:hAnsi="Calibri"/>
                <w:sz w:val="20"/>
                <w:szCs w:val="20"/>
              </w:rPr>
              <w:t>4-5 INQD</w:t>
            </w:r>
          </w:p>
        </w:tc>
        <w:tc>
          <w:tcPr>
            <w:tcW w:w="8568" w:type="dxa"/>
            <w:shd w:val="clear" w:color="auto" w:fill="auto"/>
          </w:tcPr>
          <w:p w:rsidR="002C4D97" w:rsidRPr="00AC6A20" w:rsidRDefault="002C4D97" w:rsidP="00E912F3">
            <w:pPr>
              <w:pStyle w:val="LightGrid-Accent31"/>
              <w:spacing w:after="0"/>
              <w:ind w:left="0"/>
              <w:rPr>
                <w:rFonts w:ascii="Calibri" w:hAnsi="Calibri"/>
                <w:b/>
                <w:sz w:val="20"/>
                <w:szCs w:val="20"/>
              </w:rPr>
            </w:pPr>
            <w:r w:rsidRPr="00AC6A20">
              <w:rPr>
                <w:rFonts w:ascii="Calibri" w:hAnsi="Calibri"/>
                <w:sz w:val="20"/>
                <w:szCs w:val="20"/>
              </w:rPr>
              <w:t>Investigations involve systematic collection and recording of relevant observations and data.</w:t>
            </w:r>
          </w:p>
        </w:tc>
      </w:tr>
      <w:tr w:rsidR="002C4D97" w:rsidRPr="00AC6A20">
        <w:tc>
          <w:tcPr>
            <w:tcW w:w="1368" w:type="dxa"/>
            <w:shd w:val="clear" w:color="auto" w:fill="auto"/>
          </w:tcPr>
          <w:p w:rsidR="002C4D97" w:rsidRPr="00AC6A20" w:rsidRDefault="002C4D97" w:rsidP="00E912F3">
            <w:pPr>
              <w:spacing w:after="0"/>
              <w:jc w:val="right"/>
              <w:rPr>
                <w:rFonts w:ascii="Calibri" w:hAnsi="Calibri"/>
                <w:b/>
                <w:sz w:val="20"/>
                <w:szCs w:val="20"/>
              </w:rPr>
            </w:pPr>
            <w:r w:rsidRPr="00AC6A20">
              <w:rPr>
                <w:rFonts w:ascii="Calibri" w:hAnsi="Calibri"/>
                <w:sz w:val="20"/>
                <w:szCs w:val="20"/>
              </w:rPr>
              <w:t>4-5 INQF</w:t>
            </w:r>
          </w:p>
        </w:tc>
        <w:tc>
          <w:tcPr>
            <w:tcW w:w="8568" w:type="dxa"/>
            <w:shd w:val="clear" w:color="auto" w:fill="auto"/>
          </w:tcPr>
          <w:p w:rsidR="002C4D97" w:rsidRPr="00AC6A20" w:rsidRDefault="002C4D97" w:rsidP="00E912F3">
            <w:pPr>
              <w:pStyle w:val="LightGrid-Accent31"/>
              <w:spacing w:after="0"/>
              <w:ind w:left="0"/>
              <w:rPr>
                <w:rFonts w:ascii="Calibri" w:hAnsi="Calibri"/>
                <w:b/>
                <w:sz w:val="20"/>
                <w:szCs w:val="20"/>
              </w:rPr>
            </w:pPr>
            <w:r w:rsidRPr="00AC6A20">
              <w:rPr>
                <w:rFonts w:ascii="Calibri" w:hAnsi="Calibri"/>
                <w:sz w:val="20"/>
                <w:szCs w:val="20"/>
              </w:rPr>
              <w:t>A scientific model is a simplified representation of an object, event, system, or process created to understand some aspect of the natural world.  When learning from a model, it is important to realize that the model is not exactly the same as the thing being modeled.</w:t>
            </w:r>
          </w:p>
        </w:tc>
      </w:tr>
    </w:tbl>
    <w:p w:rsidR="002C4D97" w:rsidRPr="00AC6A20" w:rsidRDefault="002C4D97" w:rsidP="00E912F3">
      <w:pPr>
        <w:spacing w:after="0"/>
        <w:rPr>
          <w:rFonts w:ascii="Calibri" w:hAnsi="Calibri"/>
          <w:sz w:val="20"/>
          <w:szCs w:val="20"/>
        </w:rPr>
      </w:pPr>
    </w:p>
    <w:tbl>
      <w:tblPr>
        <w:tblW w:w="9900" w:type="dxa"/>
        <w:tblInd w:w="378" w:type="dxa"/>
        <w:tblLook w:val="00BF"/>
      </w:tblPr>
      <w:tblGrid>
        <w:gridCol w:w="9900"/>
      </w:tblGrid>
      <w:tr w:rsidR="002C4D97" w:rsidRPr="00AC6A20">
        <w:tc>
          <w:tcPr>
            <w:tcW w:w="9900" w:type="dxa"/>
            <w:shd w:val="clear" w:color="auto" w:fill="auto"/>
          </w:tcPr>
          <w:p w:rsidR="002C4D97" w:rsidRPr="00AC6A20" w:rsidRDefault="002C4D97" w:rsidP="00E912F3">
            <w:pPr>
              <w:spacing w:after="0"/>
              <w:rPr>
                <w:rFonts w:ascii="Calibri" w:hAnsi="Calibri"/>
                <w:b/>
                <w:sz w:val="20"/>
                <w:szCs w:val="20"/>
              </w:rPr>
            </w:pPr>
            <w:r>
              <w:rPr>
                <w:rFonts w:ascii="Calibri" w:hAnsi="Calibri"/>
                <w:b/>
                <w:sz w:val="20"/>
                <w:szCs w:val="20"/>
              </w:rPr>
              <w:t>Key Understandings for the T</w:t>
            </w:r>
            <w:r w:rsidRPr="00AC6A20">
              <w:rPr>
                <w:rFonts w:ascii="Calibri" w:hAnsi="Calibri"/>
                <w:b/>
                <w:sz w:val="20"/>
                <w:szCs w:val="20"/>
              </w:rPr>
              <w:t>eacher:</w:t>
            </w:r>
          </w:p>
        </w:tc>
      </w:tr>
      <w:tr w:rsidR="002C4D97" w:rsidRPr="00AC6A20">
        <w:tc>
          <w:tcPr>
            <w:tcW w:w="9900" w:type="dxa"/>
            <w:shd w:val="clear" w:color="auto" w:fill="auto"/>
          </w:tcPr>
          <w:p w:rsidR="002C4D97" w:rsidRPr="00AC6A20" w:rsidRDefault="002C4D97" w:rsidP="00E912F3">
            <w:pPr>
              <w:numPr>
                <w:ilvl w:val="0"/>
                <w:numId w:val="2"/>
              </w:numPr>
              <w:spacing w:after="0"/>
              <w:ind w:left="342" w:hanging="180"/>
              <w:rPr>
                <w:rFonts w:ascii="Calibri" w:hAnsi="Calibri"/>
                <w:sz w:val="20"/>
                <w:szCs w:val="20"/>
              </w:rPr>
            </w:pPr>
            <w:r w:rsidRPr="00AC6A20">
              <w:rPr>
                <w:rFonts w:ascii="Calibri" w:hAnsi="Calibri"/>
                <w:sz w:val="20"/>
                <w:szCs w:val="20"/>
              </w:rPr>
              <w:t>The acidity is an important environmental factor in aquatic environments.</w:t>
            </w:r>
          </w:p>
          <w:p w:rsidR="002C4D97" w:rsidRPr="00AC6A20" w:rsidRDefault="002C4D97" w:rsidP="00E912F3">
            <w:pPr>
              <w:numPr>
                <w:ilvl w:val="0"/>
                <w:numId w:val="2"/>
              </w:numPr>
              <w:spacing w:after="0"/>
              <w:ind w:left="342" w:hanging="180"/>
              <w:rPr>
                <w:rFonts w:ascii="Calibri" w:hAnsi="Calibri"/>
                <w:sz w:val="20"/>
                <w:szCs w:val="20"/>
              </w:rPr>
            </w:pPr>
            <w:r w:rsidRPr="00AC6A20">
              <w:rPr>
                <w:rFonts w:ascii="Calibri" w:hAnsi="Calibri"/>
                <w:sz w:val="20"/>
                <w:szCs w:val="20"/>
              </w:rPr>
              <w:t>When CO2 dissolves in water, it makes the water acidic.</w:t>
            </w:r>
          </w:p>
          <w:p w:rsidR="002C4D97" w:rsidRPr="00AC6A20" w:rsidRDefault="002C4D97" w:rsidP="00E912F3">
            <w:pPr>
              <w:numPr>
                <w:ilvl w:val="0"/>
                <w:numId w:val="2"/>
              </w:numPr>
              <w:spacing w:after="0"/>
              <w:ind w:left="342" w:hanging="180"/>
              <w:rPr>
                <w:rFonts w:ascii="Calibri" w:hAnsi="Calibri"/>
                <w:sz w:val="20"/>
                <w:szCs w:val="20"/>
              </w:rPr>
            </w:pPr>
            <w:r w:rsidRPr="00AC6A20">
              <w:rPr>
                <w:rFonts w:ascii="Calibri" w:hAnsi="Calibri"/>
                <w:sz w:val="20"/>
                <w:szCs w:val="20"/>
              </w:rPr>
              <w:t xml:space="preserve">Bromothymol Blue (BTB) is a chemical indicator that changes color depending on the acidity of the water.  This allows students to observe and infer that the fish is making the water more acidic.  Without the BTB indicator, this change in acidity would be invisible to students.  </w:t>
            </w:r>
            <w:r>
              <w:rPr>
                <w:rFonts w:ascii="Calibri" w:hAnsi="Calibri"/>
                <w:sz w:val="20"/>
                <w:szCs w:val="20"/>
              </w:rPr>
              <w:t>When the acidity increases the water with BTB will change from sky-blue to green or yellow (see pg. FOSS Investigation 4, pg. 14).</w:t>
            </w:r>
          </w:p>
        </w:tc>
      </w:tr>
    </w:tbl>
    <w:p w:rsidR="002C4D97" w:rsidRDefault="002C4D97" w:rsidP="00E912F3">
      <w:pPr>
        <w:spacing w:after="0"/>
        <w:rPr>
          <w:rFonts w:ascii="Calibri" w:hAnsi="Calibri"/>
          <w:b/>
          <w:sz w:val="20"/>
          <w:szCs w:val="20"/>
        </w:rPr>
      </w:pPr>
    </w:p>
    <w:p w:rsidR="008751C0" w:rsidRDefault="008751C0" w:rsidP="00E912F3">
      <w:pPr>
        <w:spacing w:after="0"/>
        <w:rPr>
          <w:rFonts w:ascii="Calibri" w:hAnsi="Calibri"/>
          <w:b/>
          <w:sz w:val="20"/>
          <w:szCs w:val="20"/>
        </w:rPr>
      </w:pPr>
    </w:p>
    <w:p w:rsidR="008751C0" w:rsidRDefault="00540C5B" w:rsidP="00E912F3">
      <w:pPr>
        <w:spacing w:after="0"/>
        <w:rPr>
          <w:rFonts w:ascii="Calibri" w:hAnsi="Calibri"/>
          <w:b/>
          <w:sz w:val="20"/>
          <w:szCs w:val="20"/>
        </w:rPr>
      </w:pPr>
      <w:r w:rsidRPr="0093447E">
        <w:rPr>
          <w:noProof/>
        </w:rPr>
        <w:pict>
          <v:shapetype id="_x0000_t202" coordsize="21600,21600" o:spt="202" path="m0,0l0,21600,21600,21600,21600,0xe">
            <v:stroke joinstyle="miter"/>
            <v:path gradientshapeok="t" o:connecttype="rect"/>
          </v:shapetype>
          <v:shape id="_x0000_s1027" type="#_x0000_t202" style="position:absolute;margin-left:402.3pt;margin-top:5.6pt;width:126pt;height:17.55pt;z-index:251658240;mso-position-horizontal:absolute;mso-position-horizontal-relative:text;mso-position-vertical:absolute;mso-position-vertical-relative:text">
            <v:textbox>
              <w:txbxContent>
                <w:p w:rsidR="002C4D97" w:rsidRDefault="002C4D97" w:rsidP="00CC6C46">
                  <w:pPr>
                    <w:jc w:val="center"/>
                  </w:pPr>
                  <w:r w:rsidRPr="00CB25E8">
                    <w:rPr>
                      <w:b/>
                      <w:sz w:val="16"/>
                      <w:szCs w:val="16"/>
                    </w:rPr>
                    <w:t>Continued on</w:t>
                  </w:r>
                  <w:r>
                    <w:t xml:space="preserve"> </w:t>
                  </w:r>
                  <w:r w:rsidRPr="00CB25E8">
                    <w:rPr>
                      <w:b/>
                      <w:sz w:val="16"/>
                      <w:szCs w:val="16"/>
                    </w:rPr>
                    <w:t>back</w:t>
                  </w:r>
                </w:p>
              </w:txbxContent>
            </v:textbox>
          </v:shape>
        </w:pict>
      </w:r>
    </w:p>
    <w:p w:rsidR="008751C0" w:rsidRDefault="008751C0" w:rsidP="00E912F3">
      <w:pPr>
        <w:spacing w:after="0"/>
        <w:rPr>
          <w:rFonts w:ascii="Calibri" w:hAnsi="Calibri"/>
          <w:b/>
          <w:sz w:val="20"/>
          <w:szCs w:val="20"/>
        </w:rPr>
      </w:pPr>
    </w:p>
    <w:p w:rsidR="008751C0" w:rsidRDefault="008751C0" w:rsidP="00E912F3">
      <w:pPr>
        <w:spacing w:after="0"/>
        <w:rPr>
          <w:rFonts w:ascii="Calibri" w:hAnsi="Calibri"/>
          <w:b/>
          <w:sz w:val="20"/>
          <w:szCs w:val="20"/>
        </w:rPr>
      </w:pPr>
    </w:p>
    <w:p w:rsidR="008751C0" w:rsidRDefault="008751C0" w:rsidP="00E912F3">
      <w:pPr>
        <w:spacing w:after="0"/>
        <w:rPr>
          <w:rFonts w:ascii="Calibri" w:hAnsi="Calibri"/>
          <w:b/>
          <w:sz w:val="20"/>
          <w:szCs w:val="20"/>
        </w:rPr>
      </w:pPr>
    </w:p>
    <w:p w:rsidR="002C4D97" w:rsidRDefault="002C4D97" w:rsidP="00E912F3">
      <w:pPr>
        <w:spacing w:after="0"/>
        <w:rPr>
          <w:rFonts w:ascii="Calibri" w:hAnsi="Calibri"/>
          <w:b/>
          <w:sz w:val="20"/>
          <w:szCs w:val="20"/>
        </w:rPr>
      </w:pPr>
      <w:r>
        <w:rPr>
          <w:rFonts w:ascii="Calibri" w:hAnsi="Calibri"/>
          <w:b/>
          <w:sz w:val="20"/>
          <w:szCs w:val="20"/>
        </w:rPr>
        <w:t>How People Learn #3: Metacognition</w:t>
      </w:r>
    </w:p>
    <w:tbl>
      <w:tblPr>
        <w:tblW w:w="0" w:type="auto"/>
        <w:tblInd w:w="360" w:type="dxa"/>
        <w:tblLook w:val="00BF"/>
      </w:tblPr>
      <w:tblGrid>
        <w:gridCol w:w="9936"/>
      </w:tblGrid>
      <w:tr w:rsidR="002C4D97" w:rsidRPr="00AC6A20">
        <w:tc>
          <w:tcPr>
            <w:tcW w:w="9936" w:type="dxa"/>
            <w:shd w:val="clear" w:color="auto" w:fill="auto"/>
          </w:tcPr>
          <w:p w:rsidR="002C4D97" w:rsidRPr="00AC6A20" w:rsidRDefault="002C4D97" w:rsidP="00F55541">
            <w:pPr>
              <w:spacing w:after="0"/>
              <w:rPr>
                <w:rFonts w:ascii="Calibri" w:hAnsi="Calibri"/>
                <w:b/>
                <w:sz w:val="20"/>
                <w:szCs w:val="20"/>
              </w:rPr>
            </w:pPr>
            <w:r w:rsidRPr="00AC6A20">
              <w:rPr>
                <w:rFonts w:ascii="Calibri" w:hAnsi="Calibri"/>
                <w:b/>
                <w:sz w:val="20"/>
                <w:szCs w:val="20"/>
              </w:rPr>
              <w:t>Metacognition: How did my thinking change? What caused the change? How did I come to believe this?</w:t>
            </w:r>
          </w:p>
        </w:tc>
      </w:tr>
      <w:tr w:rsidR="002C4D97" w:rsidRPr="00AC6A20">
        <w:tc>
          <w:tcPr>
            <w:tcW w:w="9936" w:type="dxa"/>
            <w:shd w:val="clear" w:color="auto" w:fill="auto"/>
          </w:tcPr>
          <w:p w:rsidR="002C4D97" w:rsidRPr="00AC6A20" w:rsidRDefault="002C4D97" w:rsidP="00F55541">
            <w:pPr>
              <w:spacing w:after="0"/>
              <w:rPr>
                <w:rFonts w:ascii="Calibri" w:hAnsi="Calibri"/>
                <w:sz w:val="20"/>
                <w:szCs w:val="20"/>
              </w:rPr>
            </w:pPr>
            <w:proofErr w:type="gramStart"/>
            <w:r w:rsidRPr="00AC6A20">
              <w:rPr>
                <w:rFonts w:ascii="Calibri" w:hAnsi="Calibri"/>
                <w:sz w:val="20"/>
                <w:szCs w:val="20"/>
              </w:rPr>
              <w:t>Students</w:t>
            </w:r>
            <w:proofErr w:type="gramEnd"/>
            <w:r w:rsidRPr="00AC6A20">
              <w:rPr>
                <w:rFonts w:ascii="Calibri" w:hAnsi="Calibri"/>
                <w:sz w:val="20"/>
                <w:szCs w:val="20"/>
              </w:rPr>
              <w:t xml:space="preserve"> journal throughout investigation 4 in science notebooks using the prompt, “How are the plants and animals changing the aquarium environment and what factors are being changed?”  For example, this could be an on-going list of evidence that helps students understand that there are many visible and invisible changes happening to both the organisms and the environment.  Students revisit their list of changes over time at end of investigation.</w:t>
            </w:r>
          </w:p>
        </w:tc>
      </w:tr>
    </w:tbl>
    <w:p w:rsidR="002C4D97" w:rsidRDefault="002C4D97" w:rsidP="00E912F3">
      <w:pPr>
        <w:spacing w:after="0"/>
        <w:rPr>
          <w:rFonts w:ascii="Calibri" w:hAnsi="Calibri"/>
          <w:b/>
          <w:sz w:val="20"/>
          <w:szCs w:val="20"/>
        </w:rPr>
      </w:pPr>
    </w:p>
    <w:tbl>
      <w:tblPr>
        <w:tblW w:w="0" w:type="auto"/>
        <w:tblInd w:w="360" w:type="dxa"/>
        <w:tblLook w:val="00BF"/>
      </w:tblPr>
      <w:tblGrid>
        <w:gridCol w:w="9936"/>
      </w:tblGrid>
      <w:tr w:rsidR="002C4D97" w:rsidRPr="00AC6A20">
        <w:tc>
          <w:tcPr>
            <w:tcW w:w="9936" w:type="dxa"/>
            <w:shd w:val="clear" w:color="auto" w:fill="auto"/>
          </w:tcPr>
          <w:p w:rsidR="002C4D97" w:rsidRPr="00AC6A20" w:rsidRDefault="002C4D97" w:rsidP="00F55541">
            <w:pPr>
              <w:spacing w:after="0"/>
              <w:rPr>
                <w:rFonts w:ascii="Calibri" w:hAnsi="Calibri"/>
                <w:b/>
                <w:sz w:val="20"/>
                <w:szCs w:val="20"/>
              </w:rPr>
            </w:pPr>
            <w:r w:rsidRPr="00AC6A20">
              <w:rPr>
                <w:rFonts w:ascii="Calibri" w:hAnsi="Calibri"/>
                <w:b/>
                <w:sz w:val="20"/>
                <w:szCs w:val="20"/>
              </w:rPr>
              <w:t>Evidence of Student Understanding:</w:t>
            </w:r>
          </w:p>
        </w:tc>
      </w:tr>
      <w:tr w:rsidR="002C4D97" w:rsidRPr="00AC6A20">
        <w:tc>
          <w:tcPr>
            <w:tcW w:w="9936" w:type="dxa"/>
            <w:shd w:val="clear" w:color="auto" w:fill="auto"/>
          </w:tcPr>
          <w:p w:rsidR="002C4D97" w:rsidRPr="00AC6A20" w:rsidRDefault="002C4D97" w:rsidP="00F55541">
            <w:pPr>
              <w:numPr>
                <w:ilvl w:val="0"/>
                <w:numId w:val="5"/>
              </w:numPr>
              <w:spacing w:after="0"/>
              <w:ind w:left="360" w:hanging="180"/>
              <w:rPr>
                <w:rFonts w:ascii="Calibri" w:hAnsi="Calibri"/>
                <w:sz w:val="20"/>
                <w:szCs w:val="20"/>
              </w:rPr>
            </w:pPr>
            <w:r w:rsidRPr="00AC6A20">
              <w:rPr>
                <w:rFonts w:ascii="Calibri" w:hAnsi="Calibri"/>
                <w:sz w:val="20"/>
                <w:szCs w:val="20"/>
              </w:rPr>
              <w:t xml:space="preserve">Looking at Student Work (LASW):  Science notebooks, FOSS student response sheets, </w:t>
            </w:r>
            <w:proofErr w:type="gramStart"/>
            <w:r w:rsidRPr="00AC6A20">
              <w:rPr>
                <w:rFonts w:ascii="Calibri" w:hAnsi="Calibri"/>
                <w:sz w:val="20"/>
                <w:szCs w:val="20"/>
              </w:rPr>
              <w:t>assessments</w:t>
            </w:r>
            <w:proofErr w:type="gramEnd"/>
            <w:r w:rsidRPr="00AC6A20">
              <w:rPr>
                <w:rFonts w:ascii="Calibri" w:hAnsi="Calibri"/>
                <w:sz w:val="20"/>
                <w:szCs w:val="20"/>
              </w:rPr>
              <w:t>.</w:t>
            </w:r>
          </w:p>
          <w:p w:rsidR="002C4D97" w:rsidRPr="00AC6A20" w:rsidRDefault="002C4D97" w:rsidP="00F55541">
            <w:pPr>
              <w:numPr>
                <w:ilvl w:val="0"/>
                <w:numId w:val="5"/>
              </w:numPr>
              <w:spacing w:after="0"/>
              <w:ind w:left="360" w:hanging="180"/>
              <w:rPr>
                <w:rFonts w:ascii="Calibri" w:hAnsi="Calibri"/>
                <w:sz w:val="20"/>
                <w:szCs w:val="20"/>
              </w:rPr>
            </w:pPr>
            <w:r w:rsidRPr="00AC6A20">
              <w:rPr>
                <w:rFonts w:ascii="Calibri" w:hAnsi="Calibri"/>
                <w:sz w:val="20"/>
                <w:szCs w:val="20"/>
              </w:rPr>
              <w:t xml:space="preserve">As a way to reflect on the class’s collective growth of understanding about </w:t>
            </w:r>
            <w:r w:rsidRPr="00AC6A20">
              <w:rPr>
                <w:rFonts w:ascii="Calibri" w:hAnsi="Calibri"/>
                <w:i/>
                <w:sz w:val="20"/>
                <w:szCs w:val="20"/>
              </w:rPr>
              <w:t>how organisms influence their environments</w:t>
            </w:r>
            <w:r w:rsidRPr="00AC6A20">
              <w:rPr>
                <w:rFonts w:ascii="Calibri" w:hAnsi="Calibri"/>
                <w:sz w:val="20"/>
                <w:szCs w:val="20"/>
              </w:rPr>
              <w:t>, the teacher can guide a whole class sharing of student journal responses to the metacognitive prompt (record on whiteboard).</w:t>
            </w:r>
          </w:p>
          <w:p w:rsidR="002C4D97" w:rsidRPr="00AC6A20" w:rsidRDefault="002C4D97" w:rsidP="00F55541">
            <w:pPr>
              <w:numPr>
                <w:ilvl w:val="0"/>
                <w:numId w:val="5"/>
              </w:numPr>
              <w:spacing w:after="0"/>
              <w:ind w:left="360" w:hanging="180"/>
              <w:rPr>
                <w:rFonts w:ascii="Calibri" w:hAnsi="Calibri"/>
                <w:sz w:val="20"/>
                <w:szCs w:val="20"/>
              </w:rPr>
            </w:pPr>
            <w:r w:rsidRPr="00AC6A20">
              <w:rPr>
                <w:rFonts w:ascii="Calibri" w:hAnsi="Calibri"/>
                <w:sz w:val="20"/>
                <w:szCs w:val="20"/>
              </w:rPr>
              <w:t>Teams of students design (draw) a labeled diagram showing an investigation similar to the aquatic environments investigation, but using a new environment and organism(s).  Prompt students to add details showing how their new organism(s) possibly influence the environment and each other.  During team presentations, look for evidence of student understanding of environmental factors/changes and vocabulary usage.</w:t>
            </w:r>
          </w:p>
        </w:tc>
      </w:tr>
    </w:tbl>
    <w:p w:rsidR="002C4D97" w:rsidRDefault="002C4D97" w:rsidP="00E912F3">
      <w:pPr>
        <w:spacing w:after="0"/>
        <w:rPr>
          <w:rFonts w:ascii="Calibri" w:hAnsi="Calibri"/>
          <w:b/>
          <w:sz w:val="20"/>
          <w:szCs w:val="20"/>
        </w:rPr>
      </w:pPr>
    </w:p>
    <w:p w:rsidR="002C4D97" w:rsidRDefault="002C4D97" w:rsidP="00E912F3">
      <w:pPr>
        <w:spacing w:after="0"/>
        <w:rPr>
          <w:rFonts w:ascii="Calibri" w:hAnsi="Calibri"/>
          <w:b/>
          <w:sz w:val="20"/>
          <w:szCs w:val="20"/>
        </w:rPr>
      </w:pPr>
      <w:r>
        <w:rPr>
          <w:rFonts w:ascii="Calibri" w:hAnsi="Calibri"/>
          <w:b/>
          <w:sz w:val="20"/>
          <w:szCs w:val="20"/>
        </w:rPr>
        <w:t>____________________________________________________________________________________________________________</w:t>
      </w:r>
    </w:p>
    <w:p w:rsidR="002C4D97" w:rsidRPr="004F35DC" w:rsidRDefault="002C4D97" w:rsidP="004F35DC">
      <w:pPr>
        <w:spacing w:after="0"/>
        <w:jc w:val="center"/>
        <w:rPr>
          <w:rFonts w:ascii="Calibri" w:hAnsi="Calibri"/>
          <w:b/>
          <w:sz w:val="20"/>
          <w:szCs w:val="20"/>
          <w:u w:val="single"/>
        </w:rPr>
      </w:pPr>
      <w:r w:rsidRPr="004F35DC">
        <w:rPr>
          <w:rFonts w:ascii="Calibri" w:hAnsi="Calibri"/>
          <w:b/>
          <w:sz w:val="20"/>
          <w:szCs w:val="20"/>
          <w:u w:val="single"/>
        </w:rPr>
        <w:t>Additional Information</w:t>
      </w:r>
    </w:p>
    <w:p w:rsidR="002C4D97" w:rsidRPr="00AC6A20" w:rsidRDefault="002C4D97" w:rsidP="00E912F3">
      <w:pPr>
        <w:spacing w:after="0"/>
        <w:rPr>
          <w:rFonts w:ascii="Calibri" w:hAnsi="Calibri"/>
          <w:sz w:val="20"/>
          <w:szCs w:val="20"/>
        </w:rPr>
      </w:pPr>
    </w:p>
    <w:tbl>
      <w:tblPr>
        <w:tblW w:w="0" w:type="auto"/>
        <w:tblInd w:w="360" w:type="dxa"/>
        <w:tblLook w:val="00BF"/>
      </w:tblPr>
      <w:tblGrid>
        <w:gridCol w:w="9936"/>
      </w:tblGrid>
      <w:tr w:rsidR="002C4D97" w:rsidRPr="00AC6A20">
        <w:tc>
          <w:tcPr>
            <w:tcW w:w="9936" w:type="dxa"/>
            <w:shd w:val="clear" w:color="auto" w:fill="auto"/>
          </w:tcPr>
          <w:p w:rsidR="002C4D97" w:rsidRPr="00AC6A20" w:rsidRDefault="002C4D97" w:rsidP="00E912F3">
            <w:pPr>
              <w:spacing w:after="0"/>
              <w:rPr>
                <w:rFonts w:ascii="Calibri" w:hAnsi="Calibri"/>
                <w:b/>
                <w:sz w:val="20"/>
                <w:szCs w:val="20"/>
              </w:rPr>
            </w:pPr>
            <w:r w:rsidRPr="00AC6A20">
              <w:rPr>
                <w:rFonts w:ascii="Calibri" w:hAnsi="Calibri"/>
                <w:b/>
                <w:sz w:val="20"/>
                <w:szCs w:val="20"/>
              </w:rPr>
              <w:t>Materials and Student Management</w:t>
            </w:r>
          </w:p>
        </w:tc>
      </w:tr>
      <w:tr w:rsidR="002C4D97" w:rsidRPr="00AC6A20">
        <w:tc>
          <w:tcPr>
            <w:tcW w:w="9936" w:type="dxa"/>
            <w:shd w:val="clear" w:color="auto" w:fill="auto"/>
          </w:tcPr>
          <w:p w:rsidR="002C4D97" w:rsidRPr="00AC6A20" w:rsidRDefault="002C4D97" w:rsidP="00E912F3">
            <w:pPr>
              <w:numPr>
                <w:ilvl w:val="0"/>
                <w:numId w:val="4"/>
              </w:numPr>
              <w:spacing w:after="0"/>
              <w:ind w:left="360" w:hanging="180"/>
              <w:rPr>
                <w:rFonts w:ascii="Calibri" w:hAnsi="Calibri"/>
                <w:sz w:val="20"/>
                <w:szCs w:val="20"/>
              </w:rPr>
            </w:pPr>
            <w:r w:rsidRPr="00AC6A20">
              <w:rPr>
                <w:rFonts w:ascii="Calibri" w:hAnsi="Calibri"/>
                <w:sz w:val="20"/>
                <w:szCs w:val="20"/>
              </w:rPr>
              <w:t>Warning:  Timing for ordering organisms from Delta Education can be tricky due to availability and shipping delays.  Typical orders will take 4-6 weeks to process and deliver.  Water conditioning suggestions:  fish will die unless tap water is pre-treated (set out overnight, add de-chlorinator drops, or use distilled water).</w:t>
            </w:r>
          </w:p>
          <w:p w:rsidR="002C4D97" w:rsidRDefault="002C4D97" w:rsidP="00E912F3">
            <w:pPr>
              <w:numPr>
                <w:ilvl w:val="0"/>
                <w:numId w:val="4"/>
              </w:numPr>
              <w:spacing w:after="0"/>
              <w:ind w:left="360" w:hanging="180"/>
              <w:rPr>
                <w:rFonts w:ascii="Calibri" w:hAnsi="Calibri"/>
                <w:sz w:val="20"/>
                <w:szCs w:val="20"/>
              </w:rPr>
            </w:pPr>
            <w:r w:rsidRPr="00AC6A20">
              <w:rPr>
                <w:rFonts w:ascii="Calibri" w:hAnsi="Calibri"/>
                <w:sz w:val="20"/>
                <w:szCs w:val="20"/>
              </w:rPr>
              <w:t>Goldfish purchased from local pet stores or those mailed by Delta Education may have underlying health issues, which might cause them to prematurely die.  Even healthy goldfish might show signs of stress that could upset students.  Be ready by having extra goldfish and time for students to process feelings.</w:t>
            </w:r>
          </w:p>
          <w:p w:rsidR="002C4D97" w:rsidRPr="00AC6A20" w:rsidRDefault="002C4D97" w:rsidP="00E912F3">
            <w:pPr>
              <w:numPr>
                <w:ilvl w:val="0"/>
                <w:numId w:val="4"/>
              </w:numPr>
              <w:spacing w:after="0"/>
              <w:ind w:left="360" w:hanging="180"/>
              <w:rPr>
                <w:rFonts w:ascii="Calibri" w:hAnsi="Calibri"/>
                <w:sz w:val="20"/>
                <w:szCs w:val="20"/>
              </w:rPr>
            </w:pPr>
            <w:r w:rsidRPr="00ED23C8">
              <w:rPr>
                <w:rFonts w:ascii="Calibri" w:hAnsi="Calibri"/>
                <w:b/>
                <w:sz w:val="20"/>
                <w:szCs w:val="20"/>
              </w:rPr>
              <w:t>Mobile Inquiry Technology</w:t>
            </w:r>
            <w:r>
              <w:rPr>
                <w:rFonts w:ascii="Calibri" w:hAnsi="Calibri"/>
                <w:sz w:val="20"/>
                <w:szCs w:val="20"/>
              </w:rPr>
              <w:t xml:space="preserve"> (real time data collection using pH and temp probeware, computers): inquiry-based investigations designed to support FOSS Environments Module.  You can check out a variety of probes at SMATE at WWU or your local university.  </w:t>
            </w:r>
            <w:r w:rsidRPr="008C3DE4">
              <w:rPr>
                <w:rFonts w:ascii="Calibri" w:hAnsi="Calibri"/>
                <w:sz w:val="20"/>
                <w:szCs w:val="20"/>
              </w:rPr>
              <w:t>http://probesight.concord.org/curriculum/template_</w:t>
            </w:r>
            <w:proofErr w:type="gramStart"/>
            <w:r w:rsidRPr="008C3DE4">
              <w:rPr>
                <w:rFonts w:ascii="Calibri" w:hAnsi="Calibri"/>
                <w:sz w:val="20"/>
                <w:szCs w:val="20"/>
              </w:rPr>
              <w:t>section.htm</w:t>
            </w:r>
            <w:r>
              <w:rPr>
                <w:rFonts w:ascii="Calibri" w:hAnsi="Calibri"/>
                <w:sz w:val="20"/>
                <w:szCs w:val="20"/>
              </w:rPr>
              <w:t xml:space="preserve">  </w:t>
            </w:r>
            <w:r w:rsidRPr="008C3DE4">
              <w:rPr>
                <w:rFonts w:ascii="Calibri" w:hAnsi="Calibri"/>
                <w:sz w:val="20"/>
                <w:szCs w:val="20"/>
              </w:rPr>
              <w:t>Scroll</w:t>
            </w:r>
            <w:proofErr w:type="gramEnd"/>
            <w:r w:rsidRPr="008C3DE4">
              <w:rPr>
                <w:rFonts w:ascii="Calibri" w:hAnsi="Calibri"/>
                <w:sz w:val="20"/>
                <w:szCs w:val="20"/>
              </w:rPr>
              <w:t xml:space="preserve"> down to Environmental Studies and find:  Monitoring an Aquarium, Monitoring a Pond, Creating a pH Scale</w:t>
            </w:r>
          </w:p>
        </w:tc>
      </w:tr>
    </w:tbl>
    <w:p w:rsidR="002C4D97" w:rsidRPr="00AC6A20" w:rsidRDefault="002C4D97" w:rsidP="00E912F3">
      <w:pPr>
        <w:spacing w:after="0"/>
        <w:rPr>
          <w:rFonts w:ascii="Calibri" w:hAnsi="Calibri"/>
          <w:sz w:val="20"/>
          <w:szCs w:val="20"/>
        </w:rPr>
      </w:pPr>
    </w:p>
    <w:tbl>
      <w:tblPr>
        <w:tblW w:w="0" w:type="auto"/>
        <w:tblInd w:w="360" w:type="dxa"/>
        <w:tblLook w:val="00BF"/>
      </w:tblPr>
      <w:tblGrid>
        <w:gridCol w:w="9936"/>
      </w:tblGrid>
      <w:tr w:rsidR="002C4D97" w:rsidRPr="00AC6A20">
        <w:tc>
          <w:tcPr>
            <w:tcW w:w="9936" w:type="dxa"/>
            <w:shd w:val="clear" w:color="auto" w:fill="auto"/>
          </w:tcPr>
          <w:p w:rsidR="002C4D97" w:rsidRPr="00AC6A20" w:rsidRDefault="002C4D97" w:rsidP="00E912F3">
            <w:pPr>
              <w:spacing w:after="0"/>
              <w:rPr>
                <w:rFonts w:ascii="Calibri" w:hAnsi="Calibri"/>
                <w:b/>
                <w:sz w:val="20"/>
                <w:szCs w:val="20"/>
              </w:rPr>
            </w:pPr>
            <w:r w:rsidRPr="00AC6A20">
              <w:rPr>
                <w:rFonts w:ascii="Calibri" w:hAnsi="Calibri"/>
                <w:b/>
                <w:sz w:val="20"/>
                <w:szCs w:val="20"/>
              </w:rPr>
              <w:t>Timing Considerations</w:t>
            </w:r>
          </w:p>
        </w:tc>
      </w:tr>
      <w:tr w:rsidR="002C4D97" w:rsidRPr="00AC6A20">
        <w:tc>
          <w:tcPr>
            <w:tcW w:w="9936" w:type="dxa"/>
            <w:shd w:val="clear" w:color="auto" w:fill="auto"/>
          </w:tcPr>
          <w:p w:rsidR="002C4D97" w:rsidRPr="00AC6A20" w:rsidRDefault="002C4D97" w:rsidP="00E912F3">
            <w:pPr>
              <w:spacing w:after="0"/>
              <w:rPr>
                <w:rFonts w:ascii="Calibri" w:hAnsi="Calibri"/>
                <w:sz w:val="20"/>
                <w:szCs w:val="20"/>
              </w:rPr>
            </w:pPr>
          </w:p>
        </w:tc>
      </w:tr>
    </w:tbl>
    <w:p w:rsidR="002C4D97" w:rsidRPr="00AC6A20" w:rsidRDefault="002C4D97" w:rsidP="00E912F3">
      <w:pPr>
        <w:spacing w:after="0"/>
        <w:rPr>
          <w:rFonts w:ascii="Calibri" w:hAnsi="Calibri"/>
          <w:b/>
          <w:sz w:val="20"/>
          <w:szCs w:val="20"/>
        </w:rPr>
      </w:pPr>
    </w:p>
    <w:tbl>
      <w:tblPr>
        <w:tblW w:w="0" w:type="auto"/>
        <w:tblInd w:w="360" w:type="dxa"/>
        <w:tblLook w:val="00BF"/>
      </w:tblPr>
      <w:tblGrid>
        <w:gridCol w:w="9936"/>
      </w:tblGrid>
      <w:tr w:rsidR="002C4D97" w:rsidRPr="00AC6A20">
        <w:tc>
          <w:tcPr>
            <w:tcW w:w="9936" w:type="dxa"/>
            <w:shd w:val="clear" w:color="auto" w:fill="auto"/>
          </w:tcPr>
          <w:p w:rsidR="002C4D97" w:rsidRPr="00AC6A20" w:rsidRDefault="002C4D97" w:rsidP="00E912F3">
            <w:pPr>
              <w:spacing w:after="0"/>
              <w:rPr>
                <w:rFonts w:ascii="Calibri" w:hAnsi="Calibri"/>
                <w:b/>
                <w:sz w:val="20"/>
                <w:szCs w:val="20"/>
              </w:rPr>
            </w:pPr>
            <w:r w:rsidRPr="00AC6A20">
              <w:rPr>
                <w:rFonts w:ascii="Calibri" w:hAnsi="Calibri"/>
                <w:b/>
                <w:sz w:val="20"/>
                <w:szCs w:val="20"/>
              </w:rPr>
              <w:t>Helpful Resources and Bibliography:</w:t>
            </w:r>
          </w:p>
        </w:tc>
      </w:tr>
      <w:tr w:rsidR="002C4D97" w:rsidRPr="00AC6A20">
        <w:tc>
          <w:tcPr>
            <w:tcW w:w="9936" w:type="dxa"/>
            <w:shd w:val="clear" w:color="auto" w:fill="auto"/>
          </w:tcPr>
          <w:p w:rsidR="002C4D97" w:rsidRDefault="002C4D97" w:rsidP="00E912F3">
            <w:pPr>
              <w:pStyle w:val="LightGrid-Accent31"/>
              <w:spacing w:after="0"/>
              <w:ind w:left="0"/>
              <w:rPr>
                <w:rFonts w:ascii="Calibri" w:hAnsi="Calibri"/>
                <w:sz w:val="20"/>
                <w:szCs w:val="20"/>
              </w:rPr>
            </w:pPr>
            <w:r w:rsidRPr="00AC6A20">
              <w:rPr>
                <w:rFonts w:ascii="Calibri" w:hAnsi="Calibri"/>
                <w:sz w:val="20"/>
                <w:szCs w:val="20"/>
              </w:rPr>
              <w:t>Concept Cartoons in Science Education by Stuart Nayl</w:t>
            </w:r>
            <w:r>
              <w:rPr>
                <w:rFonts w:ascii="Calibri" w:hAnsi="Calibri"/>
                <w:sz w:val="20"/>
                <w:szCs w:val="20"/>
              </w:rPr>
              <w:t>or and Brenda Keogh pg. 38, 40.</w:t>
            </w:r>
          </w:p>
          <w:p w:rsidR="002C4D97" w:rsidRDefault="002C4D97" w:rsidP="00E912F3">
            <w:pPr>
              <w:pStyle w:val="LightGrid-Accent31"/>
              <w:spacing w:after="0"/>
              <w:ind w:left="0"/>
              <w:rPr>
                <w:rFonts w:ascii="Calibri" w:hAnsi="Calibri"/>
                <w:sz w:val="20"/>
                <w:szCs w:val="20"/>
              </w:rPr>
            </w:pPr>
            <w:r>
              <w:rPr>
                <w:rFonts w:ascii="Calibri" w:hAnsi="Calibri"/>
                <w:sz w:val="20"/>
                <w:szCs w:val="20"/>
              </w:rPr>
              <w:t>Washington Edition: Assessment Environments, Grade 5 version (Updated formative assessment packet, 2006)</w:t>
            </w:r>
          </w:p>
          <w:p w:rsidR="002C4D97" w:rsidRDefault="002C4D97" w:rsidP="00E912F3">
            <w:pPr>
              <w:pStyle w:val="LightGrid-Accent31"/>
              <w:spacing w:after="0"/>
              <w:ind w:left="0"/>
              <w:rPr>
                <w:rFonts w:ascii="Calibri" w:hAnsi="Calibri"/>
                <w:sz w:val="20"/>
                <w:szCs w:val="20"/>
              </w:rPr>
            </w:pPr>
            <w:r>
              <w:rPr>
                <w:rFonts w:ascii="Calibri" w:hAnsi="Calibri"/>
                <w:sz w:val="20"/>
                <w:szCs w:val="20"/>
              </w:rPr>
              <w:t>Atlas of Science Literacy pg. 32-33.</w:t>
            </w:r>
          </w:p>
          <w:p w:rsidR="002C4D97" w:rsidRDefault="002C4D97" w:rsidP="00E912F3">
            <w:pPr>
              <w:pStyle w:val="LightGrid-Accent31"/>
              <w:spacing w:after="0"/>
              <w:ind w:left="0"/>
              <w:rPr>
                <w:rFonts w:ascii="Calibri" w:hAnsi="Calibri"/>
                <w:sz w:val="20"/>
                <w:szCs w:val="20"/>
              </w:rPr>
            </w:pPr>
            <w:r>
              <w:rPr>
                <w:rFonts w:ascii="Calibri" w:hAnsi="Calibri"/>
                <w:sz w:val="20"/>
                <w:szCs w:val="20"/>
              </w:rPr>
              <w:t>Pre-conceptions:  Refer to Benchmarks pg. 342, 5D Interdependence of Life</w:t>
            </w:r>
          </w:p>
          <w:p w:rsidR="002C4D97" w:rsidRPr="00AC6A20" w:rsidRDefault="002C4D97" w:rsidP="00E912F3">
            <w:pPr>
              <w:pStyle w:val="LightGrid-Accent31"/>
              <w:spacing w:after="0"/>
              <w:ind w:left="0"/>
              <w:rPr>
                <w:rFonts w:ascii="Calibri" w:hAnsi="Calibri"/>
                <w:sz w:val="20"/>
                <w:szCs w:val="20"/>
              </w:rPr>
            </w:pPr>
            <w:r>
              <w:rPr>
                <w:rFonts w:ascii="Calibri" w:hAnsi="Calibri"/>
                <w:sz w:val="20"/>
                <w:szCs w:val="20"/>
              </w:rPr>
              <w:t xml:space="preserve">Mobile Inquiry Technology (real time data collection using pH and temp probeware, computers): inquiry-based investigations designed to support FOSS Environments Module. </w:t>
            </w:r>
            <w:r w:rsidRPr="009B7C30">
              <w:rPr>
                <w:rFonts w:ascii="Calibri" w:hAnsi="Calibri"/>
                <w:b/>
                <w:sz w:val="20"/>
                <w:szCs w:val="20"/>
              </w:rPr>
              <w:t>http://probesight.concord.org/curriculum/template_</w:t>
            </w:r>
            <w:proofErr w:type="gramStart"/>
            <w:r w:rsidRPr="009B7C30">
              <w:rPr>
                <w:rFonts w:ascii="Calibri" w:hAnsi="Calibri"/>
                <w:b/>
                <w:sz w:val="20"/>
                <w:szCs w:val="20"/>
              </w:rPr>
              <w:t>section.htm</w:t>
            </w:r>
            <w:r>
              <w:rPr>
                <w:rFonts w:ascii="Calibri" w:hAnsi="Calibri"/>
                <w:sz w:val="20"/>
                <w:szCs w:val="20"/>
              </w:rPr>
              <w:t xml:space="preserve">  </w:t>
            </w:r>
            <w:r w:rsidRPr="008C3DE4">
              <w:rPr>
                <w:rFonts w:ascii="Calibri" w:hAnsi="Calibri"/>
                <w:sz w:val="20"/>
                <w:szCs w:val="20"/>
              </w:rPr>
              <w:t>Scroll</w:t>
            </w:r>
            <w:proofErr w:type="gramEnd"/>
            <w:r w:rsidRPr="008C3DE4">
              <w:rPr>
                <w:rFonts w:ascii="Calibri" w:hAnsi="Calibri"/>
                <w:sz w:val="20"/>
                <w:szCs w:val="20"/>
              </w:rPr>
              <w:t xml:space="preserve"> down to Environmental Studies and find:  Monitoring an Aquarium, Monitoring a Pond, Creating a pH Scale</w:t>
            </w:r>
          </w:p>
        </w:tc>
      </w:tr>
    </w:tbl>
    <w:p w:rsidR="002C4D97" w:rsidRPr="00AC6A20" w:rsidRDefault="002C4D97" w:rsidP="00E912F3">
      <w:pPr>
        <w:spacing w:after="0"/>
        <w:rPr>
          <w:rFonts w:ascii="Calibri" w:hAnsi="Calibri"/>
          <w:sz w:val="20"/>
          <w:szCs w:val="20"/>
        </w:rPr>
      </w:pPr>
    </w:p>
    <w:sectPr w:rsidR="002C4D97" w:rsidRPr="00AC6A20" w:rsidSect="00E912F3">
      <w:headerReference w:type="default" r:id="rId7"/>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D97" w:rsidRDefault="002C4D97" w:rsidP="00464740">
      <w:pPr>
        <w:spacing w:after="0"/>
      </w:pPr>
      <w:r>
        <w:separator/>
      </w:r>
    </w:p>
  </w:endnote>
  <w:endnote w:type="continuationSeparator" w:id="0">
    <w:p w:rsidR="002C4D97" w:rsidRDefault="002C4D97" w:rsidP="0046474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Handwriting">
    <w:panose1 w:val="03010101010101010101"/>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D97" w:rsidRDefault="002C4D97" w:rsidP="00464740">
      <w:pPr>
        <w:spacing w:after="0"/>
      </w:pPr>
      <w:r>
        <w:separator/>
      </w:r>
    </w:p>
  </w:footnote>
  <w:footnote w:type="continuationSeparator" w:id="0">
    <w:p w:rsidR="002C4D97" w:rsidRDefault="002C4D97" w:rsidP="00464740">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D97" w:rsidRDefault="00540C5B">
    <w:pPr>
      <w:pStyle w:val="Header"/>
    </w:pPr>
    <w:r>
      <w:rPr>
        <w:noProof/>
      </w:rPr>
      <w:pict>
        <v:shapetype id="_x0000_t202" coordsize="21600,21600" o:spt="202" path="m0,0l0,21600,21600,21600,21600,0xe">
          <v:stroke joinstyle="miter"/>
          <v:path gradientshapeok="t" o:connecttype="rect"/>
        </v:shapetype>
        <v:shape id="_x0000_s2052" type="#_x0000_t202" style="position:absolute;margin-left:-4.95pt;margin-top:-7.6pt;width:180pt;height:58.9pt;z-index:251658240;mso-wrap-edited:f;mso-position-horizontal:absolute;mso-position-horizontal-relative:text;mso-position-vertical:absolute;mso-position-vertical-relative:text" wrapcoords="0 0 21600 0 21600 21600 0 21600 0 0" filled="f" stroked="f">
          <v:textbox style="mso-next-textbox:#_x0000_s2052">
            <w:txbxContent>
              <w:p w:rsidR="00540C5B" w:rsidRPr="002F17D3" w:rsidRDefault="00540C5B" w:rsidP="00540C5B">
                <w:pPr>
                  <w:jc w:val="center"/>
                  <w:rPr>
                    <w:rFonts w:ascii="Times New Roman" w:hAnsi="Times New Roman"/>
                    <w:b/>
                    <w:sz w:val="48"/>
                    <w:szCs w:val="96"/>
                  </w:rPr>
                </w:pPr>
                <w:r w:rsidRPr="00143F88">
                  <w:rPr>
                    <w:rFonts w:ascii="Times New Roman" w:hAnsi="Times New Roman"/>
                    <w:b/>
                    <w:sz w:val="48"/>
                    <w:szCs w:val="96"/>
                  </w:rPr>
                  <w:t>Teacher Tips</w:t>
                </w:r>
                <w:r>
                  <w:rPr>
                    <w:rFonts w:ascii="Times New Roman" w:hAnsi="Times New Roman"/>
                    <w:b/>
                    <w:sz w:val="48"/>
                    <w:szCs w:val="96"/>
                  </w:rPr>
                  <w:t xml:space="preserve"> </w:t>
                </w:r>
                <w:r w:rsidRPr="00143F88">
                  <w:rPr>
                    <w:rFonts w:ascii="Times New Roman" w:hAnsi="Times New Roman"/>
                    <w:b/>
                    <w:sz w:val="32"/>
                    <w:szCs w:val="96"/>
                  </w:rPr>
                  <w:t>Version 1.0</w:t>
                </w:r>
              </w:p>
            </w:txbxContent>
          </v:textbox>
          <w10:wrap type="tight"/>
        </v:shape>
      </w:pict>
    </w:r>
    <w:r w:rsidR="002C4D97">
      <w:rPr>
        <w:noProof/>
      </w:rPr>
      <w:t xml:space="preserve">                                                         </w:t>
    </w:r>
    <w:r w:rsidR="002F1389">
      <w:rPr>
        <w:noProof/>
      </w:rPr>
      <w:drawing>
        <wp:inline distT="0" distB="0" distL="0" distR="0">
          <wp:extent cx="1076325" cy="462915"/>
          <wp:effectExtent l="25400" t="0" r="0" b="0"/>
          <wp:docPr id="1" name="Picture 1" descr="http://www.bham.wednet.edu/images/BSDlogo-tra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ham.wednet.edu/images/BSDlogo-trans.gif"/>
                  <pic:cNvPicPr>
                    <a:picLocks noChangeAspect="1" noChangeArrowheads="1"/>
                  </pic:cNvPicPr>
                </pic:nvPicPr>
                <pic:blipFill>
                  <a:blip r:embed="rId1"/>
                  <a:srcRect/>
                  <a:stretch>
                    <a:fillRect/>
                  </a:stretch>
                </pic:blipFill>
                <pic:spPr bwMode="auto">
                  <a:xfrm>
                    <a:off x="0" y="0"/>
                    <a:ext cx="1076325" cy="462915"/>
                  </a:xfrm>
                  <a:prstGeom prst="rect">
                    <a:avLst/>
                  </a:prstGeom>
                  <a:noFill/>
                  <a:ln w="9525">
                    <a:noFill/>
                    <a:miter lim="800000"/>
                    <a:headEnd/>
                    <a:tailEnd/>
                  </a:ln>
                </pic:spPr>
              </pic:pic>
            </a:graphicData>
          </a:graphic>
        </wp:inline>
      </w:drawing>
    </w:r>
    <w:r w:rsidR="002F1389">
      <w:rPr>
        <w:noProof/>
      </w:rPr>
      <w:drawing>
        <wp:inline distT="0" distB="0" distL="0" distR="0">
          <wp:extent cx="761246" cy="666200"/>
          <wp:effectExtent l="25400" t="0" r="754" b="0"/>
          <wp:docPr id="2"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01" name="Picture 5"/>
                  <pic:cNvPicPr>
                    <a:picLocks noChangeArrowheads="1"/>
                  </pic:cNvPicPr>
                </pic:nvPicPr>
                <pic:blipFill>
                  <a:blip r:embed="rId2"/>
                  <a:srcRect/>
                  <a:stretch>
                    <a:fillRect/>
                  </a:stretch>
                </pic:blipFill>
                <pic:spPr bwMode="auto">
                  <a:xfrm>
                    <a:off x="0" y="0"/>
                    <a:ext cx="761246" cy="666200"/>
                  </a:xfrm>
                  <a:prstGeom prst="rect">
                    <a:avLst/>
                  </a:prstGeom>
                  <a:noFill/>
                  <a:ln w="25400">
                    <a:noFill/>
                    <a:round/>
                    <a:headEnd/>
                    <a:tailEnd/>
                  </a:ln>
                  <a:effectLst>
                    <a:outerShdw dist="12700" dir="2700000" algn="ctr" rotWithShape="0">
                      <a:schemeClr val="bg2">
                        <a:alpha val="75000"/>
                      </a:schemeClr>
                    </a:outerShdw>
                  </a:effectLst>
                </pic:spPr>
              </pic:pic>
            </a:graphicData>
          </a:graphic>
        </wp:inline>
      </w:drawing>
    </w:r>
    <w:r w:rsidR="002F1389">
      <w:rPr>
        <w:noProof/>
      </w:rPr>
      <w:drawing>
        <wp:inline distT="0" distB="0" distL="0" distR="0">
          <wp:extent cx="1883009" cy="639691"/>
          <wp:effectExtent l="2540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98" name="Picture 2"/>
                  <pic:cNvPicPr>
                    <a:picLocks noChangeArrowheads="1"/>
                  </pic:cNvPicPr>
                </pic:nvPicPr>
                <pic:blipFill>
                  <a:blip r:embed="rId3"/>
                  <a:srcRect/>
                  <a:stretch>
                    <a:fillRect/>
                  </a:stretch>
                </pic:blipFill>
                <pic:spPr bwMode="auto">
                  <a:xfrm>
                    <a:off x="0" y="0"/>
                    <a:ext cx="1883009" cy="639691"/>
                  </a:xfrm>
                  <a:prstGeom prst="rect">
                    <a:avLst/>
                  </a:prstGeom>
                  <a:noFill/>
                  <a:ln w="9525">
                    <a:noFill/>
                    <a:miter lim="800000"/>
                    <a:headEnd/>
                    <a:tailEnd/>
                  </a:ln>
                  <a:effectLst>
                    <a:outerShdw dist="12700" dir="2700000" algn="ctr" rotWithShape="0">
                      <a:schemeClr val="bg2">
                        <a:alpha val="75000"/>
                      </a:schemeClr>
                    </a:outerShdw>
                  </a:effectLst>
                </pic:spPr>
              </pic:pic>
            </a:graphicData>
          </a:graphic>
        </wp:inline>
      </w:drawing>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04F8D"/>
    <w:multiLevelType w:val="hybridMultilevel"/>
    <w:tmpl w:val="31B66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142E75"/>
    <w:multiLevelType w:val="hybridMultilevel"/>
    <w:tmpl w:val="D77A0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6926F9"/>
    <w:multiLevelType w:val="hybridMultilevel"/>
    <w:tmpl w:val="147EA8D2"/>
    <w:lvl w:ilvl="0" w:tplc="9294D916">
      <w:start w:val="1"/>
      <w:numFmt w:val="bullet"/>
      <w:lvlText w:val=""/>
      <w:lvlJc w:val="left"/>
      <w:pPr>
        <w:tabs>
          <w:tab w:val="num" w:pos="144"/>
        </w:tabs>
        <w:ind w:left="144" w:hanging="144"/>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5B1933"/>
    <w:multiLevelType w:val="hybridMultilevel"/>
    <w:tmpl w:val="C11E3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030B95"/>
    <w:multiLevelType w:val="hybridMultilevel"/>
    <w:tmpl w:val="03D2F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044473"/>
    <w:multiLevelType w:val="hybridMultilevel"/>
    <w:tmpl w:val="57DE6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grammar="clean"/>
  <w:stylePaneFormatFilter w:val="3701"/>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rsids>
    <w:rsidRoot w:val="00A41F58"/>
    <w:rsid w:val="00001665"/>
    <w:rsid w:val="0006151C"/>
    <w:rsid w:val="000C55AE"/>
    <w:rsid w:val="001E0AD7"/>
    <w:rsid w:val="001F40FF"/>
    <w:rsid w:val="002C4D97"/>
    <w:rsid w:val="002F1389"/>
    <w:rsid w:val="00464740"/>
    <w:rsid w:val="004A10A0"/>
    <w:rsid w:val="004B3BF5"/>
    <w:rsid w:val="004F35DC"/>
    <w:rsid w:val="00540C5B"/>
    <w:rsid w:val="005B24B1"/>
    <w:rsid w:val="005D7754"/>
    <w:rsid w:val="00704E84"/>
    <w:rsid w:val="00731EB4"/>
    <w:rsid w:val="008751C0"/>
    <w:rsid w:val="008B0C9A"/>
    <w:rsid w:val="008C3DE4"/>
    <w:rsid w:val="0093447E"/>
    <w:rsid w:val="009B7C30"/>
    <w:rsid w:val="00A1694F"/>
    <w:rsid w:val="00A41F58"/>
    <w:rsid w:val="00AC6A20"/>
    <w:rsid w:val="00B07368"/>
    <w:rsid w:val="00B935BB"/>
    <w:rsid w:val="00BB698E"/>
    <w:rsid w:val="00BE2814"/>
    <w:rsid w:val="00C42694"/>
    <w:rsid w:val="00C84723"/>
    <w:rsid w:val="00CB25E8"/>
    <w:rsid w:val="00CC6C46"/>
    <w:rsid w:val="00DD5E01"/>
    <w:rsid w:val="00E912F3"/>
    <w:rsid w:val="00ED23C8"/>
    <w:rsid w:val="00EF0217"/>
    <w:rsid w:val="00F55541"/>
  </w:rsids>
  <m:mathPr>
    <m:mathFont m:val="Lucida Handwriting"/>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723"/>
    <w:pPr>
      <w:spacing w:after="200"/>
    </w:pPr>
    <w:rPr>
      <w:rFonts w:ascii="Verdana" w:hAnsi="Verdana"/>
      <w:sz w:val="24"/>
      <w:szCs w:val="24"/>
    </w:rPr>
  </w:style>
  <w:style w:type="paragraph" w:styleId="Heading1">
    <w:name w:val="heading 1"/>
    <w:basedOn w:val="Normal"/>
    <w:next w:val="Normal"/>
    <w:link w:val="Heading1Char"/>
    <w:uiPriority w:val="99"/>
    <w:qFormat/>
    <w:rsid w:val="00C84723"/>
    <w:pPr>
      <w:keepNext/>
      <w:spacing w:before="240" w:after="60"/>
      <w:outlineLvl w:val="0"/>
    </w:pPr>
    <w:rPr>
      <w:b/>
      <w:kern w:val="32"/>
      <w:sz w:val="32"/>
      <w:szCs w:val="32"/>
    </w:rPr>
  </w:style>
  <w:style w:type="paragraph" w:styleId="Heading2">
    <w:name w:val="heading 2"/>
    <w:basedOn w:val="Normal"/>
    <w:next w:val="Normal"/>
    <w:link w:val="Heading2Char"/>
    <w:uiPriority w:val="99"/>
    <w:qFormat/>
    <w:rsid w:val="00C84723"/>
    <w:pPr>
      <w:keepNext/>
      <w:spacing w:before="240" w:after="60"/>
      <w:outlineLvl w:val="1"/>
    </w:pPr>
    <w:rPr>
      <w:b/>
      <w:i/>
      <w:sz w:val="28"/>
      <w:szCs w:val="28"/>
    </w:rPr>
  </w:style>
  <w:style w:type="paragraph" w:styleId="Heading3">
    <w:name w:val="heading 3"/>
    <w:basedOn w:val="Normal"/>
    <w:next w:val="Normal"/>
    <w:link w:val="Heading3Char"/>
    <w:uiPriority w:val="99"/>
    <w:qFormat/>
    <w:rsid w:val="00C84723"/>
    <w:pPr>
      <w:keepNext/>
      <w:spacing w:before="240" w:after="60"/>
      <w:outlineLvl w:val="2"/>
    </w:pPr>
    <w:rPr>
      <w:rFonts w:ascii="Arial" w:hAnsi="Arial"/>
      <w:b/>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D6626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D6626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D66269"/>
    <w:rPr>
      <w:rFonts w:asciiTheme="majorHAnsi" w:eastAsiaTheme="majorEastAsia" w:hAnsiTheme="majorHAnsi" w:cstheme="majorBidi"/>
      <w:b/>
      <w:bCs/>
      <w:sz w:val="26"/>
      <w:szCs w:val="26"/>
    </w:rPr>
  </w:style>
  <w:style w:type="paragraph" w:styleId="Footer">
    <w:name w:val="footer"/>
    <w:basedOn w:val="Normal"/>
    <w:link w:val="FooterChar"/>
    <w:uiPriority w:val="99"/>
    <w:semiHidden/>
    <w:rsid w:val="00C84723"/>
    <w:pPr>
      <w:tabs>
        <w:tab w:val="center" w:pos="4320"/>
        <w:tab w:val="right" w:pos="8640"/>
      </w:tabs>
    </w:pPr>
  </w:style>
  <w:style w:type="character" w:customStyle="1" w:styleId="FooterChar">
    <w:name w:val="Footer Char"/>
    <w:basedOn w:val="DefaultParagraphFont"/>
    <w:link w:val="Footer"/>
    <w:uiPriority w:val="99"/>
    <w:semiHidden/>
    <w:rsid w:val="00D66269"/>
    <w:rPr>
      <w:rFonts w:ascii="Verdana" w:hAnsi="Verdana"/>
      <w:sz w:val="24"/>
      <w:szCs w:val="24"/>
    </w:rPr>
  </w:style>
  <w:style w:type="paragraph" w:styleId="Header">
    <w:name w:val="header"/>
    <w:basedOn w:val="Normal"/>
    <w:link w:val="HeaderChar"/>
    <w:uiPriority w:val="99"/>
    <w:rsid w:val="00C84723"/>
    <w:pPr>
      <w:tabs>
        <w:tab w:val="center" w:pos="4320"/>
        <w:tab w:val="right" w:pos="8640"/>
      </w:tabs>
    </w:pPr>
  </w:style>
  <w:style w:type="character" w:customStyle="1" w:styleId="HeaderChar">
    <w:name w:val="Header Char"/>
    <w:basedOn w:val="DefaultParagraphFont"/>
    <w:link w:val="Header"/>
    <w:uiPriority w:val="99"/>
    <w:semiHidden/>
    <w:rsid w:val="00D66269"/>
    <w:rPr>
      <w:rFonts w:ascii="Verdana" w:hAnsi="Verdana"/>
      <w:sz w:val="24"/>
      <w:szCs w:val="24"/>
    </w:rPr>
  </w:style>
  <w:style w:type="paragraph" w:customStyle="1" w:styleId="CD-Know">
    <w:name w:val="CD-Know"/>
    <w:basedOn w:val="Normal"/>
    <w:uiPriority w:val="99"/>
    <w:rsid w:val="00C84723"/>
    <w:pPr>
      <w:shd w:val="clear" w:color="auto" w:fill="FFFF00"/>
    </w:pPr>
    <w:rPr>
      <w:rFonts w:ascii="Times" w:hAnsi="Times"/>
      <w:b/>
      <w:sz w:val="28"/>
      <w:szCs w:val="20"/>
    </w:rPr>
  </w:style>
  <w:style w:type="paragraph" w:customStyle="1" w:styleId="CD-Understand">
    <w:name w:val="CD-Understand"/>
    <w:basedOn w:val="Normal"/>
    <w:uiPriority w:val="99"/>
    <w:rsid w:val="00C84723"/>
    <w:pPr>
      <w:shd w:val="clear" w:color="auto" w:fill="00FF00"/>
    </w:pPr>
    <w:rPr>
      <w:rFonts w:ascii="Times" w:hAnsi="Times"/>
      <w:b/>
      <w:sz w:val="28"/>
      <w:szCs w:val="20"/>
    </w:rPr>
  </w:style>
  <w:style w:type="paragraph" w:customStyle="1" w:styleId="CD-Apply">
    <w:name w:val="CD-Apply"/>
    <w:basedOn w:val="Normal"/>
    <w:uiPriority w:val="99"/>
    <w:rsid w:val="00C84723"/>
    <w:pPr>
      <w:shd w:val="clear" w:color="auto" w:fill="FF9900"/>
    </w:pPr>
    <w:rPr>
      <w:rFonts w:ascii="Times" w:hAnsi="Times"/>
      <w:b/>
      <w:sz w:val="28"/>
      <w:szCs w:val="20"/>
    </w:rPr>
  </w:style>
  <w:style w:type="paragraph" w:customStyle="1" w:styleId="CD-Analyze">
    <w:name w:val="CD-Analyze"/>
    <w:basedOn w:val="Normal"/>
    <w:uiPriority w:val="99"/>
    <w:rsid w:val="00C84723"/>
    <w:pPr>
      <w:shd w:val="clear" w:color="auto" w:fill="F985C7"/>
    </w:pPr>
    <w:rPr>
      <w:rFonts w:ascii="Times" w:hAnsi="Times"/>
      <w:b/>
      <w:sz w:val="28"/>
      <w:szCs w:val="20"/>
    </w:rPr>
  </w:style>
  <w:style w:type="paragraph" w:customStyle="1" w:styleId="CD-Synthesize">
    <w:name w:val="CD-Synthesize"/>
    <w:basedOn w:val="Normal"/>
    <w:uiPriority w:val="99"/>
    <w:rsid w:val="00C84723"/>
    <w:pPr>
      <w:shd w:val="clear" w:color="auto" w:fill="00CCFF"/>
    </w:pPr>
    <w:rPr>
      <w:rFonts w:ascii="Times" w:hAnsi="Times"/>
      <w:b/>
      <w:sz w:val="28"/>
      <w:szCs w:val="20"/>
    </w:rPr>
  </w:style>
  <w:style w:type="paragraph" w:customStyle="1" w:styleId="CD-Evaluate">
    <w:name w:val="CD-Evaluate"/>
    <w:basedOn w:val="Normal"/>
    <w:uiPriority w:val="99"/>
    <w:rsid w:val="00C84723"/>
    <w:pPr>
      <w:shd w:val="clear" w:color="auto" w:fill="A36ADC"/>
    </w:pPr>
    <w:rPr>
      <w:rFonts w:ascii="Times" w:hAnsi="Times"/>
      <w:b/>
      <w:sz w:val="28"/>
      <w:szCs w:val="20"/>
    </w:rPr>
  </w:style>
  <w:style w:type="paragraph" w:customStyle="1" w:styleId="POMNotebookEntry">
    <w:name w:val="POM Notebook Entry"/>
    <w:basedOn w:val="Normal"/>
    <w:uiPriority w:val="99"/>
    <w:rsid w:val="00C84723"/>
    <w:pPr>
      <w:pBdr>
        <w:top w:val="single" w:sz="4" w:space="1" w:color="auto"/>
        <w:left w:val="single" w:sz="4" w:space="4" w:color="auto"/>
        <w:bottom w:val="single" w:sz="4" w:space="1" w:color="auto"/>
        <w:right w:val="single" w:sz="4" w:space="4" w:color="auto"/>
        <w:between w:val="single" w:sz="12" w:space="1" w:color="999999"/>
      </w:pBdr>
      <w:spacing w:line="360" w:lineRule="auto"/>
      <w:ind w:left="1440"/>
    </w:pPr>
    <w:rPr>
      <w:sz w:val="20"/>
      <w:szCs w:val="20"/>
    </w:rPr>
  </w:style>
  <w:style w:type="table" w:customStyle="1" w:styleId="POMNotebookEntryTable">
    <w:name w:val="POM Notebook Entry Table"/>
    <w:uiPriority w:val="99"/>
    <w:rsid w:val="00C84723"/>
    <w:rPr>
      <w:rFonts w:ascii="Lucida Handwriting" w:hAnsi="Lucida Handwriting"/>
      <w:sz w:val="20"/>
      <w:szCs w:val="20"/>
    </w:rPr>
    <w:tblPr>
      <w:tblInd w:w="0" w:type="dxa"/>
      <w:tblBorders>
        <w:top w:val="single" w:sz="12" w:space="0" w:color="000000"/>
        <w:left w:val="single" w:sz="12" w:space="0" w:color="000000"/>
        <w:bottom w:val="single" w:sz="12" w:space="0" w:color="000000"/>
        <w:right w:val="single" w:sz="12" w:space="0" w:color="000000"/>
        <w:insideH w:val="single" w:sz="12" w:space="0" w:color="999999"/>
      </w:tblBorders>
      <w:tblCellMar>
        <w:top w:w="0" w:type="dxa"/>
        <w:left w:w="108" w:type="dxa"/>
        <w:bottom w:w="0" w:type="dxa"/>
        <w:right w:w="108" w:type="dxa"/>
      </w:tblCellMar>
    </w:tblPr>
  </w:style>
  <w:style w:type="table" w:styleId="TableGrid">
    <w:name w:val="Table Grid"/>
    <w:basedOn w:val="TableNormal"/>
    <w:uiPriority w:val="99"/>
    <w:rsid w:val="00A41F5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ghtGrid-Accent31">
    <w:name w:val="Light Grid - Accent 31"/>
    <w:basedOn w:val="Normal"/>
    <w:uiPriority w:val="99"/>
    <w:rsid w:val="00C84723"/>
    <w:pPr>
      <w:ind w:left="720"/>
      <w:contextualSpacing/>
    </w:pPr>
  </w:style>
  <w:style w:type="character" w:styleId="CommentReference">
    <w:name w:val="annotation reference"/>
    <w:basedOn w:val="DefaultParagraphFont"/>
    <w:uiPriority w:val="99"/>
    <w:semiHidden/>
    <w:rsid w:val="00C84723"/>
    <w:rPr>
      <w:rFonts w:cs="Times New Roman"/>
      <w:sz w:val="16"/>
      <w:szCs w:val="16"/>
    </w:rPr>
  </w:style>
  <w:style w:type="paragraph" w:styleId="CommentText">
    <w:name w:val="annotation text"/>
    <w:basedOn w:val="Normal"/>
    <w:link w:val="CommentTextChar"/>
    <w:uiPriority w:val="99"/>
    <w:semiHidden/>
    <w:rsid w:val="00C84723"/>
    <w:rPr>
      <w:sz w:val="20"/>
      <w:szCs w:val="20"/>
    </w:rPr>
  </w:style>
  <w:style w:type="character" w:customStyle="1" w:styleId="CommentTextChar">
    <w:name w:val="Comment Text Char"/>
    <w:basedOn w:val="DefaultParagraphFont"/>
    <w:link w:val="CommentText"/>
    <w:uiPriority w:val="99"/>
    <w:semiHidden/>
    <w:locked/>
    <w:rsid w:val="00C84723"/>
    <w:rPr>
      <w:rFonts w:ascii="Verdana" w:hAnsi="Verdana" w:cs="Times New Roman"/>
      <w:lang w:val="en-GB"/>
    </w:rPr>
  </w:style>
  <w:style w:type="paragraph" w:styleId="CommentSubject">
    <w:name w:val="annotation subject"/>
    <w:basedOn w:val="CommentText"/>
    <w:next w:val="CommentText"/>
    <w:link w:val="CommentSubjectChar"/>
    <w:uiPriority w:val="99"/>
    <w:semiHidden/>
    <w:rsid w:val="00C84723"/>
    <w:rPr>
      <w:b/>
      <w:bCs/>
    </w:rPr>
  </w:style>
  <w:style w:type="character" w:customStyle="1" w:styleId="CommentSubjectChar">
    <w:name w:val="Comment Subject Char"/>
    <w:basedOn w:val="CommentTextChar"/>
    <w:link w:val="CommentSubject"/>
    <w:uiPriority w:val="99"/>
    <w:semiHidden/>
    <w:locked/>
    <w:rsid w:val="00C84723"/>
    <w:rPr>
      <w:b/>
      <w:bCs/>
    </w:rPr>
  </w:style>
  <w:style w:type="paragraph" w:styleId="BalloonText">
    <w:name w:val="Balloon Text"/>
    <w:basedOn w:val="Normal"/>
    <w:link w:val="BalloonTextChar"/>
    <w:uiPriority w:val="99"/>
    <w:semiHidden/>
    <w:rsid w:val="00C8472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4723"/>
    <w:rPr>
      <w:rFonts w:ascii="Tahoma" w:hAnsi="Tahoma" w:cs="Tahoma"/>
      <w:sz w:val="16"/>
      <w:szCs w:val="16"/>
      <w:lang w:val="en-GB"/>
    </w:rPr>
  </w:style>
  <w:style w:type="paragraph" w:customStyle="1" w:styleId="Default">
    <w:name w:val="Default"/>
    <w:uiPriority w:val="99"/>
    <w:rsid w:val="00C84723"/>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948</Words>
  <Characters>5409</Characters>
  <Application>Microsoft Macintosh Word</Application>
  <DocSecurity>0</DocSecurity>
  <Lines>45</Lines>
  <Paragraphs>10</Paragraphs>
  <ScaleCrop>false</ScaleCrop>
  <Company>Bellingham School District</Company>
  <LinksUpToDate>false</LinksUpToDate>
  <CharactersWithSpaces>6642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Envionments</dc:title>
  <dc:subject/>
  <dc:creator>bsd501</dc:creator>
  <cp:keywords/>
  <dc:description/>
  <cp:lastModifiedBy>Office 2004 Test Drive User</cp:lastModifiedBy>
  <cp:revision>3</cp:revision>
  <cp:lastPrinted>2010-01-28T22:46:00Z</cp:lastPrinted>
  <dcterms:created xsi:type="dcterms:W3CDTF">2010-02-07T00:51:00Z</dcterms:created>
  <dcterms:modified xsi:type="dcterms:W3CDTF">2010-02-28T20:28:00Z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b7a08f9a-8524-41b5-a276-146fb494b4dd</vt:lpwstr>
  </property>
  <property fmtid="{D5CDD505-2E9C-101B-9397-08002B2CF9AE}" pid="3" name="LastObjectUpdateEventProcessedVersion">
    <vt:lpwstr>3.0</vt:lpwstr>
  </property>
  <property fmtid="{D5CDD505-2E9C-101B-9397-08002B2CF9AE}" pid="4" name="_SourceUrl">
    <vt:lpwstr/>
  </property>
  <property fmtid="{D5CDD505-2E9C-101B-9397-08002B2CF9AE}" pid="5" name="AutoVersionDisabled">
    <vt:lpwstr>0</vt:lpwstr>
  </property>
  <property fmtid="{D5CDD505-2E9C-101B-9397-08002B2CF9AE}" pid="6" name="ItemType">
    <vt:lpwstr>1</vt:lpwstr>
  </property>
  <property fmtid="{D5CDD505-2E9C-101B-9397-08002B2CF9AE}" pid="7" name="Order">
    <vt:lpwstr/>
  </property>
  <property fmtid="{D5CDD505-2E9C-101B-9397-08002B2CF9AE}" pid="8" name="MetaInfo">
    <vt:lpwstr/>
  </property>
  <property fmtid="{D5CDD505-2E9C-101B-9397-08002B2CF9AE}" pid="9" name="Description">
    <vt:lpwstr/>
  </property>
</Properties>
</file>